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6"/>
          <w:szCs w:val="16"/>
          <w:color w:val="003366"/>
        </w:rPr>
        <w:drawing>
          <wp:anchor simplePos="0" relativeHeight="251657728" behindDoc="1" locked="0" layoutInCell="0" allowOverlap="1">
            <wp:simplePos x="0" y="0"/>
            <wp:positionH relativeFrom="page">
              <wp:posOffset>158750</wp:posOffset>
            </wp:positionH>
            <wp:positionV relativeFrom="page">
              <wp:posOffset>123190</wp:posOffset>
            </wp:positionV>
            <wp:extent cx="7232650" cy="104813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2650" cy="10481310"/>
                    </a:xfrm>
                    <a:prstGeom prst="rect">
                      <a:avLst/>
                    </a:prstGeom>
                    <a:noFill/>
                  </pic:spPr>
                </pic:pic>
              </a:graphicData>
            </a:graphic>
          </wp:anchor>
        </w:drawing>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67"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900" w:hanging="256"/>
        <w:spacing w:after="0"/>
        <w:tabs>
          <w:tab w:leader="none" w:pos="9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26, 2026</w:t>
      </w:r>
    </w:p>
    <w:p>
      <w:pPr>
        <w:spacing w:after="0" w:line="3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OR</w:t>
      </w:r>
    </w:p>
    <w:p>
      <w:pPr>
        <w:ind w:left="900" w:hanging="256"/>
        <w:spacing w:after="0" w:line="194" w:lineRule="auto"/>
        <w:tabs>
          <w:tab w:leader="none" w:pos="900"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TRANSITION REPORT PURSUANT TO SECTION 13 OR 15(d) OF THE SECURITIES EXCHANGE ACT OF 1934</w:t>
      </w:r>
    </w:p>
    <w:p>
      <w:pPr>
        <w:spacing w:after="0" w:line="280" w:lineRule="exact"/>
        <w:rPr>
          <w:sz w:val="24"/>
          <w:szCs w:val="24"/>
          <w:color w:val="auto"/>
        </w:rPr>
      </w:pPr>
    </w:p>
    <w:p>
      <w:pPr>
        <w:ind w:left="3500"/>
        <w:spacing w:after="0"/>
        <w:tabs>
          <w:tab w:leader="none" w:pos="6520" w:val="left"/>
          <w:tab w:leader="none" w:pos="74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7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Commission file number 001-41541</w:t>
      </w:r>
    </w:p>
    <w:p>
      <w:pPr>
        <w:spacing w:after="0" w:line="70" w:lineRule="exact"/>
        <w:rPr>
          <w:sz w:val="24"/>
          <w:szCs w:val="24"/>
          <w:color w:val="auto"/>
        </w:rPr>
      </w:pPr>
    </w:p>
    <w:p>
      <w:pPr>
        <w:jc w:val="center"/>
        <w:ind w:right="-659"/>
        <w:spacing w:after="0"/>
        <w:rPr>
          <w:sz w:val="20"/>
          <w:szCs w:val="20"/>
          <w:color w:val="auto"/>
        </w:rPr>
      </w:pPr>
      <w:r>
        <w:rPr>
          <w:rFonts w:ascii="Times New Roman" w:cs="Times New Roman" w:eastAsia="Times New Roman" w:hAnsi="Times New Roman"/>
          <w:sz w:val="25"/>
          <w:szCs w:val="25"/>
          <w:b w:val="1"/>
          <w:bCs w:val="1"/>
          <w:color w:val="auto"/>
        </w:rPr>
        <w:t>Mobileye Global Inc.</w:t>
      </w:r>
    </w:p>
    <w:p>
      <w:pPr>
        <w:spacing w:after="0" w:line="4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360"/>
          </w:cols>
          <w:pgMar w:left="440" w:top="470" w:right="1099" w:bottom="1440" w:gutter="0" w:footer="0" w:header="0"/>
        </w:sectPr>
      </w:pPr>
    </w:p>
    <w:p>
      <w:pPr>
        <w:spacing w:after="0" w:line="66" w:lineRule="exact"/>
        <w:rPr>
          <w:sz w:val="24"/>
          <w:szCs w:val="24"/>
          <w:color w:val="auto"/>
        </w:rPr>
      </w:pPr>
    </w:p>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13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4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88-0666433</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4780" w:space="720"/>
            <w:col w:w="460" w:space="720"/>
            <w:col w:w="3680"/>
          </w:cols>
          <w:pgMar w:left="440" w:top="470" w:right="1099" w:bottom="1440" w:gutter="0" w:footer="0" w:header="0"/>
          <w:type w:val="continuous"/>
        </w:sectPr>
      </w:pPr>
    </w:p>
    <w:p>
      <w:pPr>
        <w:ind w:left="2640"/>
        <w:spacing w:after="0"/>
        <w:rPr>
          <w:sz w:val="20"/>
          <w:szCs w:val="20"/>
          <w:color w:val="auto"/>
        </w:rPr>
      </w:pPr>
      <w:r>
        <w:rPr>
          <w:rFonts w:ascii="Times New Roman" w:cs="Times New Roman" w:eastAsia="Times New Roman" w:hAnsi="Times New Roman"/>
          <w:sz w:val="18"/>
          <w:szCs w:val="18"/>
          <w:color w:val="auto"/>
        </w:rPr>
        <w:t>organization)</w:t>
      </w:r>
    </w:p>
    <w:p>
      <w:pPr>
        <w:sectPr>
          <w:pgSz w:w="11900" w:h="16838" w:orient="portrait"/>
          <w:cols w:equalWidth="0" w:num="1">
            <w:col w:w="10360"/>
          </w:cols>
          <w:pgMar w:left="440" w:top="470" w:right="1099" w:bottom="1440" w:gutter="0" w:footer="0" w:header="0"/>
          <w:type w:val="continuous"/>
        </w:sectPr>
      </w:pPr>
    </w:p>
    <w:p>
      <w:pPr>
        <w:spacing w:after="0" w:line="9"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7"/>
          <w:szCs w:val="17"/>
          <w:color w:val="auto"/>
        </w:rPr>
        <w:t>c/o Mobileye B.V.</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+972-2-541-7333</w:t>
      </w:r>
    </w:p>
    <w:p>
      <w:pPr>
        <w:spacing w:after="0" w:line="21" w:lineRule="exact"/>
        <w:rPr>
          <w:sz w:val="24"/>
          <w:szCs w:val="24"/>
          <w:color w:val="auto"/>
        </w:rPr>
      </w:pPr>
    </w:p>
    <w:p>
      <w:pPr>
        <w:sectPr>
          <w:pgSz w:w="11900" w:h="16838" w:orient="portrait"/>
          <w:cols w:equalWidth="0" w:num="2">
            <w:col w:w="6640" w:space="720"/>
            <w:col w:w="3000"/>
          </w:cols>
          <w:pgMar w:left="440" w:top="470" w:right="1099" w:bottom="1440" w:gutter="0" w:footer="0" w:header="0"/>
          <w:type w:val="continuous"/>
        </w:sectPr>
      </w:pPr>
    </w:p>
    <w:p>
      <w:pPr>
        <w:jc w:val="center"/>
        <w:ind w:right="4260"/>
        <w:spacing w:after="0"/>
        <w:rPr>
          <w:sz w:val="20"/>
          <w:szCs w:val="20"/>
          <w:color w:val="auto"/>
        </w:rPr>
      </w:pPr>
      <w:r>
        <w:rPr>
          <w:rFonts w:ascii="Times New Roman" w:cs="Times New Roman" w:eastAsia="Times New Roman" w:hAnsi="Times New Roman"/>
          <w:sz w:val="17"/>
          <w:szCs w:val="17"/>
          <w:color w:val="auto"/>
        </w:rPr>
        <w:t>Har Hotzvim, 1 Shlomo Momo HaLevi Street</w:t>
      </w:r>
    </w:p>
    <w:p>
      <w:pPr>
        <w:spacing w:after="0" w:line="21" w:lineRule="exact"/>
        <w:rPr>
          <w:sz w:val="24"/>
          <w:szCs w:val="24"/>
          <w:color w:val="auto"/>
        </w:rPr>
      </w:pPr>
    </w:p>
    <w:p>
      <w:pPr>
        <w:jc w:val="center"/>
        <w:ind w:right="4260"/>
        <w:spacing w:after="0"/>
        <w:rPr>
          <w:sz w:val="20"/>
          <w:szCs w:val="20"/>
          <w:color w:val="auto"/>
        </w:rPr>
      </w:pPr>
      <w:r>
        <w:rPr>
          <w:rFonts w:ascii="Times New Roman" w:cs="Times New Roman" w:eastAsia="Times New Roman" w:hAnsi="Times New Roman"/>
          <w:sz w:val="18"/>
          <w:szCs w:val="18"/>
          <w:color w:val="auto"/>
        </w:rPr>
        <w:t>Jerusalem 9777015, Israel</w:t>
      </w:r>
    </w:p>
    <w:p>
      <w:pPr>
        <w:sectPr>
          <w:pgSz w:w="11900" w:h="16838" w:orient="portrait"/>
          <w:cols w:equalWidth="0" w:num="1">
            <w:col w:w="10360"/>
          </w:cols>
          <w:pgMar w:left="440" w:top="470" w:right="1099" w:bottom="1440" w:gutter="0" w:footer="0" w:header="0"/>
          <w:type w:val="continuous"/>
        </w:sectPr>
      </w:pPr>
    </w:p>
    <w:p>
      <w:pPr>
        <w:spacing w:after="0" w:line="9" w:lineRule="exact"/>
        <w:rPr>
          <w:sz w:val="24"/>
          <w:szCs w:val="24"/>
          <w:color w:val="auto"/>
        </w:rPr>
      </w:pPr>
    </w:p>
    <w:p>
      <w:pPr>
        <w:jc w:val="center"/>
        <w:ind w:left="74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83" w:lineRule="exact"/>
        <w:rPr>
          <w:sz w:val="24"/>
          <w:szCs w:val="24"/>
          <w:color w:val="auto"/>
        </w:rPr>
      </w:pPr>
    </w:p>
    <w:p>
      <w:pPr>
        <w:sectPr>
          <w:pgSz w:w="11900" w:h="16838" w:orient="portrait"/>
          <w:cols w:equalWidth="0" w:num="2">
            <w:col w:w="5360" w:space="720"/>
            <w:col w:w="4280"/>
          </w:cols>
          <w:pgMar w:left="440" w:top="470" w:right="1099" w:bottom="1440" w:gutter="0" w:footer="0" w:header="0"/>
          <w:type w:val="continuous"/>
        </w:sectPr>
      </w:pPr>
    </w:p>
    <w:p>
      <w:pPr>
        <w:ind w:left="6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0360"/>
          </w:cols>
          <w:pgMar w:left="440" w:top="470" w:right="1099" w:bottom="1440" w:gutter="0" w:footer="0" w:header="0"/>
          <w:type w:val="continuous"/>
        </w:sectPr>
      </w:pPr>
    </w:p>
    <w:p>
      <w:pPr>
        <w:spacing w:after="0" w:line="127" w:lineRule="exact"/>
        <w:rPr>
          <w:sz w:val="24"/>
          <w:szCs w:val="24"/>
          <w:color w:val="auto"/>
        </w:rPr>
      </w:pPr>
    </w:p>
    <w:p>
      <w:pPr>
        <w:jc w:val="center"/>
        <w:ind w:left="9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left="980"/>
        <w:spacing w:after="0"/>
        <w:rPr>
          <w:sz w:val="20"/>
          <w:szCs w:val="20"/>
          <w:color w:val="auto"/>
        </w:rPr>
      </w:pPr>
      <w:r>
        <w:rPr>
          <w:rFonts w:ascii="Times New Roman" w:cs="Times New Roman" w:eastAsia="Times New Roman" w:hAnsi="Times New Roman"/>
          <w:sz w:val="17"/>
          <w:szCs w:val="17"/>
          <w:color w:val="auto"/>
        </w:rPr>
        <w:t>Class A common stock, par value $0.01</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MBLY</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ind w:hanging="622"/>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The Nasdaq Global Select Market</w:t>
      </w:r>
    </w:p>
    <w:p>
      <w:pPr>
        <w:spacing w:after="0" w:line="24" w:lineRule="exact"/>
        <w:rPr>
          <w:sz w:val="24"/>
          <w:szCs w:val="24"/>
          <w:color w:val="auto"/>
        </w:rPr>
      </w:pPr>
    </w:p>
    <w:p>
      <w:pPr>
        <w:sectPr>
          <w:pgSz w:w="11900" w:h="16838" w:orient="portrait"/>
          <w:cols w:equalWidth="0" w:num="4">
            <w:col w:w="3840" w:space="380"/>
            <w:col w:w="140" w:space="500"/>
            <w:col w:w="1800" w:space="720"/>
            <w:col w:w="2980"/>
          </w:cols>
          <w:pgMar w:left="440" w:top="470" w:right="1099" w:bottom="1440" w:gutter="0" w:footer="0" w:header="0"/>
          <w:type w:val="continuous"/>
        </w:sectPr>
      </w:pPr>
    </w:p>
    <w:p>
      <w:pPr>
        <w:ind w:left="640"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ind w:left="6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6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60"/>
          </w:cols>
          <w:pgMar w:left="440" w:top="470" w:right="1099" w:bottom="1440" w:gutter="0" w:footer="0" w:header="0"/>
          <w:type w:val="continuous"/>
        </w:sectPr>
      </w:pPr>
    </w:p>
    <w:p>
      <w:pPr>
        <w:spacing w:after="0" w:line="27" w:lineRule="exact"/>
        <w:rPr>
          <w:sz w:val="24"/>
          <w:szCs w:val="24"/>
          <w:color w:val="auto"/>
        </w:rPr>
      </w:pPr>
    </w:p>
    <w:p>
      <w:pPr>
        <w:ind w:left="16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4960" w:space="720"/>
            <w:col w:w="4680"/>
          </w:cols>
          <w:pgMar w:left="440" w:top="470" w:right="1099" w:bottom="1440" w:gutter="0" w:footer="0" w:header="0"/>
          <w:type w:val="continuous"/>
        </w:sectPr>
      </w:pPr>
    </w:p>
    <w:p>
      <w:pPr>
        <w:ind w:left="16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jc w:val="center"/>
        <w:ind w:right="2500"/>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8" w:lineRule="exact"/>
        <w:rPr>
          <w:sz w:val="24"/>
          <w:szCs w:val="24"/>
          <w:color w:val="auto"/>
        </w:rPr>
      </w:pPr>
    </w:p>
    <w:p>
      <w:pPr>
        <w:sectPr>
          <w:pgSz w:w="11900" w:h="16838" w:orient="portrait"/>
          <w:cols w:equalWidth="0" w:num="2">
            <w:col w:w="4960" w:space="720"/>
            <w:col w:w="4680"/>
          </w:cols>
          <w:pgMar w:left="440" w:top="470" w:right="1099" w:bottom="1440" w:gutter="0" w:footer="0" w:header="0"/>
          <w:type w:val="continuous"/>
        </w:sectPr>
      </w:pPr>
    </w:p>
    <w:p>
      <w:pPr>
        <w:ind w:left="162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0360"/>
          </w:cols>
          <w:pgMar w:left="440" w:top="470" w:right="1099" w:bottom="1440" w:gutter="0" w:footer="0" w:header="0"/>
          <w:type w:val="continuous"/>
        </w:sectPr>
      </w:pPr>
    </w:p>
    <w:p>
      <w:pPr>
        <w:spacing w:after="0" w:line="82" w:lineRule="exact"/>
        <w:rPr>
          <w:sz w:val="24"/>
          <w:szCs w:val="24"/>
          <w:color w:val="auto"/>
        </w:rPr>
      </w:pPr>
    </w:p>
    <w:p>
      <w:pPr>
        <w:ind w:left="6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960" w:right="420" w:hanging="323"/>
        <w:spacing w:after="0" w:line="283" w:lineRule="exact"/>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 xml:space="preserve"> </w:t>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There were 252,403,844 shares of Class A common stock, $0.01 par value, outstanding at </w:t>
      </w:r>
      <w:r>
        <w:rPr>
          <w:rFonts w:ascii="Times New Roman" w:cs="Times New Roman" w:eastAsia="Times New Roman" w:hAnsi="Times New Roman"/>
          <w:sz w:val="18"/>
          <w:szCs w:val="18"/>
          <w:color w:val="auto"/>
          <w:highlight w:val="white"/>
        </w:rPr>
        <w:t>October 21,</w:t>
      </w:r>
      <w:r>
        <w:rPr>
          <w:rFonts w:ascii="Times New Roman" w:cs="Times New Roman" w:eastAsia="Times New Roman" w:hAnsi="Times New Roman"/>
          <w:sz w:val="18"/>
          <w:szCs w:val="18"/>
          <w:color w:val="auto"/>
        </w:rPr>
        <w:t xml:space="preserve"> 2026</w:t>
      </w:r>
      <w:r>
        <w:rPr>
          <w:rFonts w:ascii="Times New Roman" w:cs="Times New Roman" w:eastAsia="Times New Roman" w:hAnsi="Times New Roman"/>
          <w:sz w:val="16"/>
          <w:szCs w:val="16"/>
          <w:color w:val="auto"/>
        </w:rPr>
        <w:t>.</w:t>
      </w:r>
    </w:p>
    <w:p>
      <w:pPr>
        <w:sectPr>
          <w:pgSz w:w="11900" w:h="16838" w:orient="portrait"/>
          <w:cols w:equalWidth="0" w:num="1">
            <w:col w:w="10360"/>
          </w:cols>
          <w:pgMar w:left="440" w:top="470" w:right="109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64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90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9"/>
              </w:rPr>
              <w:t>MOBILEYE GLOBAL INC.</w:t>
            </w:r>
          </w:p>
        </w:tc>
        <w:tc>
          <w:tcPr>
            <w:tcW w:w="136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60" w:type="dxa"/>
            <w:vAlign w:val="bottom"/>
            <w:gridSpan w:val="8"/>
          </w:tcPr>
          <w:p>
            <w:pPr>
              <w:jc w:val="center"/>
              <w:ind w:right="27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36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560" w:type="dxa"/>
            <w:vAlign w:val="bottom"/>
            <w:gridSpan w:val="13"/>
          </w:tcPr>
          <w:p>
            <w:pPr>
              <w:jc w:val="center"/>
              <w:ind w:right="1420"/>
              <w:spacing w:after="0"/>
              <w:rPr>
                <w:sz w:val="20"/>
                <w:szCs w:val="20"/>
                <w:color w:val="auto"/>
              </w:rPr>
            </w:pPr>
            <w:r>
              <w:rPr>
                <w:rFonts w:ascii="Times New Roman" w:cs="Times New Roman" w:eastAsia="Times New Roman" w:hAnsi="Times New Roman"/>
                <w:sz w:val="18"/>
                <w:szCs w:val="18"/>
                <w:b w:val="1"/>
                <w:bCs w:val="1"/>
                <w:color w:val="auto"/>
                <w:w w:val="99"/>
              </w:rPr>
              <w:t>For the quarterly period ended September 26, 2026</w:t>
            </w:r>
          </w:p>
        </w:tc>
        <w:tc>
          <w:tcPr>
            <w:tcW w:w="136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9"/>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60" w:type="dxa"/>
            <w:vAlign w:val="bottom"/>
          </w:tcPr>
          <w:p>
            <w:pPr>
              <w:spacing w:after="0"/>
              <w:rPr>
                <w:sz w:val="24"/>
                <w:szCs w:val="24"/>
                <w:color w:val="auto"/>
              </w:rPr>
            </w:pPr>
          </w:p>
        </w:tc>
      </w:tr>
      <w:tr>
        <w:trPr>
          <w:trHeight w:val="432"/>
        </w:trPr>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6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Page</w:t>
            </w:r>
          </w:p>
        </w:tc>
      </w:tr>
      <w:tr>
        <w:trPr>
          <w:trHeight w:val="175"/>
        </w:trPr>
        <w:tc>
          <w:tcPr>
            <w:tcW w:w="1040" w:type="dxa"/>
            <w:vAlign w:val="bottom"/>
            <w:gridSpan w:val="5"/>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73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1360" w:type="dxa"/>
            <w:vAlign w:val="bottom"/>
            <w:shd w:val="clear" w:color="auto" w:fill="CCEEFF"/>
          </w:tcPr>
          <w:p>
            <w:pPr>
              <w:spacing w:after="0"/>
              <w:rPr>
                <w:sz w:val="15"/>
                <w:szCs w:val="15"/>
                <w:color w:val="auto"/>
              </w:rPr>
            </w:pP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3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3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21"/>
        </w:trPr>
        <w:tc>
          <w:tcPr>
            <w:tcW w:w="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94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260" w:type="dxa"/>
            <w:vAlign w:val="bottom"/>
            <w:tcBorders>
              <w:bottom w:val="single" w:sz="8" w:color="CCEEFF"/>
            </w:tcBorders>
            <w:gridSpan w:val="8"/>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4</w:t>
            </w:r>
          </w:p>
        </w:tc>
      </w:tr>
      <w:tr>
        <w:trPr>
          <w:trHeight w:val="176"/>
        </w:trPr>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320" w:type="dxa"/>
            <w:vAlign w:val="bottom"/>
            <w:gridSpan w:val="20"/>
          </w:tcPr>
          <w:p>
            <w:pPr>
              <w:ind w:left="1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Income (Loss)</w:t>
            </w:r>
          </w:p>
        </w:tc>
        <w:tc>
          <w:tcPr>
            <w:tcW w:w="13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Equity</w:t>
            </w:r>
          </w:p>
        </w:tc>
        <w:tc>
          <w:tcPr>
            <w:tcW w:w="136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6</w:t>
            </w:r>
          </w:p>
        </w:tc>
      </w:tr>
      <w:tr>
        <w:trPr>
          <w:trHeight w:val="175"/>
        </w:trPr>
        <w:tc>
          <w:tcPr>
            <w:tcW w:w="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20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000" w:type="dxa"/>
            <w:vAlign w:val="bottom"/>
            <w:tcBorders>
              <w:top w:val="single" w:sz="8" w:color="CCEEFF"/>
            </w:tcBorders>
            <w:gridSpan w:val="5"/>
          </w:tcPr>
          <w:p>
            <w:pPr>
              <w:spacing w:after="0"/>
              <w:rPr>
                <w:sz w:val="15"/>
                <w:szCs w:val="15"/>
                <w:color w:val="auto"/>
              </w:rPr>
            </w:pPr>
          </w:p>
        </w:tc>
        <w:tc>
          <w:tcPr>
            <w:tcW w:w="1360" w:type="dxa"/>
            <w:vAlign w:val="bottom"/>
            <w:tcBorders>
              <w:top w:val="single" w:sz="8" w:color="CCEEFF"/>
            </w:tcBorders>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7</w:t>
            </w:r>
          </w:p>
        </w:tc>
      </w:tr>
      <w:tr>
        <w:trPr>
          <w:trHeight w:val="21"/>
        </w:trPr>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3200" w:type="dxa"/>
            <w:vAlign w:val="bottom"/>
            <w:tcBorders>
              <w:bottom w:val="single" w:sz="8" w:color="CCEEFF"/>
            </w:tcBorders>
            <w:gridSpan w:val="6"/>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rPr>
              <w:t>8</w:t>
            </w:r>
          </w:p>
        </w:tc>
      </w:tr>
      <w:tr>
        <w:trPr>
          <w:trHeight w:val="176"/>
        </w:trPr>
        <w:tc>
          <w:tcPr>
            <w:tcW w:w="104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3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3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28</w:t>
            </w:r>
          </w:p>
        </w:tc>
      </w:tr>
      <w:tr>
        <w:trPr>
          <w:trHeight w:val="20"/>
        </w:trPr>
        <w:tc>
          <w:tcPr>
            <w:tcW w:w="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1040" w:type="dxa"/>
            <w:vAlign w:val="bottom"/>
            <w:gridSpan w:val="5"/>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36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3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1040" w:type="dxa"/>
            <w:vAlign w:val="bottom"/>
            <w:gridSpan w:val="5"/>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73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36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1.</w:t>
            </w:r>
          </w:p>
        </w:tc>
        <w:tc>
          <w:tcPr>
            <w:tcW w:w="73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3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5"/>
        </w:trPr>
        <w:tc>
          <w:tcPr>
            <w:tcW w:w="1040" w:type="dxa"/>
            <w:vAlign w:val="bottom"/>
            <w:gridSpan w:val="5"/>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3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36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2.</w:t>
            </w:r>
          </w:p>
        </w:tc>
        <w:tc>
          <w:tcPr>
            <w:tcW w:w="73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3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48</w:t>
            </w:r>
          </w:p>
        </w:tc>
      </w:tr>
      <w:tr>
        <w:trPr>
          <w:trHeight w:val="20"/>
        </w:trPr>
        <w:tc>
          <w:tcPr>
            <w:tcW w:w="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6"/>
        </w:trPr>
        <w:tc>
          <w:tcPr>
            <w:tcW w:w="1040" w:type="dxa"/>
            <w:vAlign w:val="bottom"/>
            <w:gridSpan w:val="5"/>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3.</w:t>
            </w:r>
          </w:p>
        </w:tc>
        <w:tc>
          <w:tcPr>
            <w:tcW w:w="73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36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4.</w:t>
            </w:r>
          </w:p>
        </w:tc>
        <w:tc>
          <w:tcPr>
            <w:tcW w:w="73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3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0"/>
        </w:trPr>
        <w:tc>
          <w:tcPr>
            <w:tcW w:w="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5"/>
        </w:trPr>
        <w:tc>
          <w:tcPr>
            <w:tcW w:w="1040" w:type="dxa"/>
            <w:vAlign w:val="bottom"/>
            <w:gridSpan w:val="5"/>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5.</w:t>
            </w:r>
          </w:p>
        </w:tc>
        <w:tc>
          <w:tcPr>
            <w:tcW w:w="73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36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49</w:t>
            </w: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gridSpan w:val="5"/>
          </w:tcPr>
          <w:p>
            <w:pPr>
              <w:ind w:left="60"/>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32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360" w:type="dxa"/>
            <w:vAlign w:val="bottom"/>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51</w:t>
            </w:r>
          </w:p>
        </w:tc>
      </w:tr>
      <w:tr>
        <w:trPr>
          <w:trHeight w:val="20"/>
        </w:trPr>
        <w:tc>
          <w:tcPr>
            <w:tcW w:w="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5"/>
        </w:trPr>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32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360" w:type="dxa"/>
            <w:vAlign w:val="bottom"/>
            <w:shd w:val="clear" w:color="auto" w:fill="CCEEFF"/>
          </w:tcPr>
          <w:p>
            <w:pPr>
              <w:jc w:val="center"/>
              <w:ind w:left="650"/>
              <w:spacing w:after="0" w:line="176" w:lineRule="exact"/>
              <w:rPr>
                <w:sz w:val="20"/>
                <w:szCs w:val="20"/>
                <w:color w:val="auto"/>
              </w:rPr>
            </w:pPr>
            <w:r>
              <w:rPr>
                <w:rFonts w:ascii="Times New Roman" w:cs="Times New Roman" w:eastAsia="Times New Roman" w:hAnsi="Times New Roman"/>
                <w:sz w:val="18"/>
                <w:szCs w:val="18"/>
                <w:color w:val="auto"/>
                <w:w w:val="99"/>
              </w:rPr>
              <w:t>52</w:t>
            </w: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360"/>
          </w:cols>
          <w:pgMar w:left="440" w:top="106" w:right="1099"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In this report, references to “we,” “us,” “our,” our “company,” “Mobileye,” the “Company,” and similar terms refer to Mobileye Global Inc. and, unless the context requires otherwise, its consolidated subsidiaries, except with respect to our historical business, operations, financial performance, and financial condition. References to “Moovit” refer to GG Acquisition Ltd., Moovit App Global Ltd., and their consolidated subsidiaries. References to “Mentee Robotics” refer to Mentee Robotics Ltd.</w:t>
      </w:r>
    </w:p>
    <w:p>
      <w:pPr>
        <w:spacing w:after="0" w:line="179" w:lineRule="exact"/>
        <w:rPr>
          <w:sz w:val="20"/>
          <w:szCs w:val="20"/>
          <w:color w:val="auto"/>
        </w:rPr>
      </w:pPr>
    </w:p>
    <w:p>
      <w:pPr>
        <w:jc w:val="both"/>
        <w:ind w:left="640" w:firstLine="324"/>
        <w:spacing w:after="0" w:line="262" w:lineRule="auto"/>
        <w:rPr>
          <w:sz w:val="20"/>
          <w:szCs w:val="20"/>
          <w:color w:val="auto"/>
        </w:rPr>
      </w:pPr>
      <w:r>
        <w:rPr>
          <w:rFonts w:ascii="Times New Roman" w:cs="Times New Roman" w:eastAsia="Times New Roman" w:hAnsi="Times New Roman"/>
          <w:sz w:val="18"/>
          <w:szCs w:val="18"/>
          <w:b w:val="1"/>
          <w:bCs w:val="1"/>
          <w:color w:val="auto"/>
        </w:rPr>
        <w:t>We have a 52- or 53-week fiscal year that ends on the last Saturday in December. Fiscal year 2026 is a 52-week fiscal year; fiscal year 2025 was also a 52-week fiscal year. Certain amounts, percentages, and other figures presented in this report have been subject to rounding adjustments. Accordingly, figures shown as totals, dollars, or percentage amounts of changes may not represent the arithmetic summation or calculation of the figures that precede them.</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360"/>
          </w:cols>
          <w:pgMar w:left="440" w:top="106" w:right="1099" w:bottom="1440" w:gutter="0" w:footer="0" w:header="0"/>
          <w:type w:val="continuous"/>
        </w:sectPr>
      </w:pPr>
    </w:p>
    <w:bookmarkStart w:id="3" w:name="page4"/>
    <w:bookmarkEnd w:id="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7460" w:type="dxa"/>
            <w:vAlign w:val="bottom"/>
          </w:tcPr>
          <w:p>
            <w:pPr>
              <w:ind w:left="730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26,</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w:t>
            </w:r>
          </w:p>
        </w:tc>
        <w:tc>
          <w:tcPr>
            <w:tcW w:w="0" w:type="dxa"/>
            <w:vAlign w:val="bottom"/>
          </w:tcPr>
          <w:p>
            <w:pPr>
              <w:spacing w:after="0"/>
              <w:rPr>
                <w:sz w:val="1"/>
                <w:szCs w:val="1"/>
                <w:color w:val="auto"/>
              </w:rPr>
            </w:pPr>
          </w:p>
        </w:tc>
      </w:tr>
      <w:tr>
        <w:trPr>
          <w:trHeight w:val="173"/>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data</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Marketable securities and deposits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2,478</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long-term assets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6,776</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8,882</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7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Related party payable</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406</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employee benefits</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Contingencies (see note 11)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653</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7"/>
        </w:trPr>
        <w:tc>
          <w:tcPr>
            <w:tcW w:w="74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4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A common stock: $0.01 par value; 4,000,000,000 shares authorized; shares issued and</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outstanding: 251,984,656 as of September 26, 2026 and 216,980,847 as of December 27, 2025</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Class B common stock: $0.01 par value; 1,500,000,000 shares authorized; shares issued and</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597,768,015 as of September 26, 2026 and December 27, 2025</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 net of tax</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8,229</w:t>
            </w: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8,882</w:t>
            </w: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ectPr>
          <w:pgSz w:w="11900" w:h="16838" w:orient="portrait"/>
          <w:cols w:equalWidth="0" w:num="1">
            <w:col w:w="10400"/>
          </w:cols>
          <w:pgMar w:left="440" w:top="106"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400"/>
          </w:cols>
          <w:pgMar w:left="440" w:top="106" w:right="1059"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117"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5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Borders>
              <w:top w:val="single" w:sz="8" w:color="auto"/>
            </w:tcBorders>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980" w:type="dxa"/>
            <w:vAlign w:val="bottom"/>
            <w:tcBorders>
              <w:top w:val="single" w:sz="8" w:color="auto"/>
            </w:tcBorders>
            <w:gridSpan w:val="3"/>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Borders>
              <w:top w:val="single" w:sz="8" w:color="auto"/>
            </w:tcBorders>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 except share and per share data</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5"/>
                <w:szCs w:val="15"/>
                <w:color w:val="auto"/>
              </w:rPr>
            </w:pPr>
          </w:p>
        </w:tc>
        <w:tc>
          <w:tcPr>
            <w:tcW w:w="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4,779</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 attributed to Class A and Class B stockholders:</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(0.08)</w:t>
            </w:r>
          </w:p>
        </w:tc>
        <w:tc>
          <w:tcPr>
            <w:tcW w:w="3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(0.12)</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(4.77)</w:t>
            </w:r>
          </w:p>
        </w:tc>
        <w:tc>
          <w:tcPr>
            <w:tcW w:w="3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6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used in computation of earnings</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(loss) per share attributed to Class A and Class B stockholders (in</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millions):</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 (LOSS)</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(3,919)</w:t>
            </w:r>
          </w:p>
        </w:tc>
        <w:tc>
          <w:tcPr>
            <w:tcW w:w="20" w:type="dxa"/>
            <w:vAlign w:val="bottom"/>
          </w:tcPr>
          <w:p>
            <w:pPr>
              <w:spacing w:after="0"/>
              <w:rPr>
                <w:sz w:val="18"/>
                <w:szCs w:val="18"/>
                <w:color w:val="auto"/>
              </w:rPr>
            </w:pPr>
          </w:p>
        </w:tc>
        <w:tc>
          <w:tcPr>
            <w:tcW w:w="120" w:type="dxa"/>
            <w:vAlign w:val="bottom"/>
            <w:gridSpan w:val="2"/>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360"/>
          </w:cols>
          <w:pgMar w:left="440" w:top="106" w:right="1099"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1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11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0" w:lineRule="exact"/>
        <w:rPr>
          <w:sz w:val="20"/>
          <w:szCs w:val="20"/>
          <w:color w:val="auto"/>
        </w:rPr>
      </w:pPr>
    </w:p>
    <w:tbl>
      <w:tblPr>
        <w:tblLayout w:type="fixed"/>
        <w:tblInd w:w="640" w:type="dxa"/>
        <w:tblCellMar>
          <w:top w:w="0" w:type="dxa"/>
          <w:left w:w="0" w:type="dxa"/>
          <w:bottom w:w="0" w:type="dxa"/>
          <w:right w:w="0" w:type="dxa"/>
        </w:tblCellMar>
      </w:tblPr>
      <w:tr>
        <w:trPr>
          <w:trHeight w:val="176"/>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Borders>
              <w:bottom w:val="single" w:sz="8" w:color="auto"/>
            </w:tcBorders>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5"/>
                <w:szCs w:val="15"/>
                <w:color w:val="auto"/>
              </w:rPr>
            </w:pP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ind w:right="91"/>
              <w:spacing w:after="0" w:line="158"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3"/>
                <w:szCs w:val="13"/>
                <w:color w:val="auto"/>
              </w:rPr>
            </w:pPr>
          </w:p>
        </w:tc>
        <w:tc>
          <w:tcPr>
            <w:tcW w:w="2000" w:type="dxa"/>
            <w:vAlign w:val="bottom"/>
            <w:gridSpan w:val="5"/>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100" w:type="dxa"/>
            <w:vAlign w:val="bottom"/>
          </w:tcPr>
          <w:p>
            <w:pPr>
              <w:spacing w:after="0"/>
              <w:rPr>
                <w:sz w:val="13"/>
                <w:szCs w:val="13"/>
                <w:color w:val="auto"/>
              </w:rPr>
            </w:pPr>
          </w:p>
        </w:tc>
        <w:tc>
          <w:tcPr>
            <w:tcW w:w="900" w:type="dxa"/>
            <w:vAlign w:val="bottom"/>
            <w:gridSpan w:val="3"/>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dollars except number of shares, in millions</w:t>
            </w:r>
          </w:p>
        </w:tc>
        <w:tc>
          <w:tcPr>
            <w:tcW w:w="920" w:type="dxa"/>
            <w:vAlign w:val="bottom"/>
            <w:gridSpan w:val="2"/>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  shares</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 Income (Loss)</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
        </w:trPr>
        <w:tc>
          <w:tcPr>
            <w:tcW w:w="24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line="20" w:lineRule="exact"/>
              <w:rPr>
                <w:sz w:val="1"/>
                <w:szCs w:val="1"/>
                <w:color w:val="auto"/>
              </w:rPr>
            </w:pPr>
          </w:p>
        </w:tc>
      </w:tr>
      <w:tr>
        <w:trPr>
          <w:trHeight w:val="210"/>
        </w:trPr>
        <w:tc>
          <w:tcPr>
            <w:tcW w:w="3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June 27, 2026</w:t>
            </w:r>
          </w:p>
        </w:tc>
        <w:tc>
          <w:tcPr>
            <w:tcW w:w="18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840</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15,481</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(7,291)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share-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based compensation plans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26, 2026</w:t>
            </w:r>
          </w:p>
        </w:tc>
        <w:tc>
          <w:tcPr>
            <w:tcW w:w="18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15,575</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(7,358)</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as of June 28, 2025</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15,270</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(3,229)</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Recharge to Parent for Share-based compensation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share-</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based compensation plans</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Repurchase of common stock from Parent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as of September 27, 2025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15,240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80" w:type="dxa"/>
            <w:vAlign w:val="bottom"/>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as of December 27, 2025</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15,308</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(3,452)</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gridSpan w:val="2"/>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share-</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based compensation plans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the</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of Mentee Robotics</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as of September 26, 2026</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15,575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as of December 28, 2024</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15,137</w:t>
            </w:r>
          </w:p>
        </w:tc>
        <w:tc>
          <w:tcPr>
            <w:tcW w:w="3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(3,060)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sharing agreement with Parent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8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Recharge to Parent for Share-based compensation</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60" w:type="dxa"/>
            <w:vAlign w:val="bottom"/>
            <w:gridSpan w:val="2"/>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share-</w:t>
            </w:r>
          </w:p>
        </w:tc>
        <w:tc>
          <w:tcPr>
            <w:tcW w:w="18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based compensation plans</w:t>
            </w:r>
          </w:p>
        </w:tc>
        <w:tc>
          <w:tcPr>
            <w:tcW w:w="9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Repurchase of common stock from Parent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Balance as of September 27, 2025</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15,240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440" w:type="dxa"/>
            <w:vAlign w:val="bottom"/>
            <w:tcBorders>
              <w:bottom w:val="single" w:sz="8" w:color="auto"/>
            </w:tcBorders>
          </w:tcPr>
          <w:p>
            <w:pPr>
              <w:spacing w:after="0"/>
              <w:rPr>
                <w:sz w:val="9"/>
                <w:szCs w:val="9"/>
                <w:color w:val="auto"/>
              </w:rPr>
            </w:pPr>
          </w:p>
        </w:tc>
        <w:tc>
          <w:tcPr>
            <w:tcW w:w="1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960" w:hanging="316"/>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million.</w:t>
      </w:r>
    </w:p>
    <w:p>
      <w:pPr>
        <w:spacing w:after="0" w:line="225"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ectPr>
          <w:pgSz w:w="11900" w:h="16838" w:orient="portrait"/>
          <w:cols w:equalWidth="0" w:num="1">
            <w:col w:w="10400"/>
          </w:cols>
          <w:pgMar w:left="440" w:top="106" w:right="105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400"/>
          </w:cols>
          <w:pgMar w:left="440" w:top="106" w:right="1059"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10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0"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3"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4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2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6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720" w:type="dxa"/>
            <w:vAlign w:val="bottom"/>
            <w:gridSpan w:val="2"/>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4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(loss) to net cash provided by operating activities: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Goodwill impairment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Exchange rate differences on cash and cash equivalents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(Gains) losses on equity and debt investments, net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trade accounts receivable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Decrease (increase) in other long-term assets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accounts payable, accrued expenses and related party payable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 (decrease) in employee-related accrued expenses and long-term benefits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other current liabilities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Increase (decrease) in other long-term liabilities</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Purchases of debt and equity investments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Maturities and sales of debt and equity investments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Cash paid for acquisition of Mentee Robotics, net of cash acquired</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Share-based compensation recharge</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Balance of cash, cash equivalents and restricted cash, at beginning of year</w:t>
            </w:r>
          </w:p>
        </w:tc>
        <w:tc>
          <w:tcPr>
            <w:tcW w:w="5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of cash, cash equivalents and restricted cash, at end of period</w:t>
            </w:r>
          </w:p>
        </w:tc>
        <w:tc>
          <w:tcPr>
            <w:tcW w:w="5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Supplementary non-cash investing and financing activities:</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purchase of property and equipment</w:t>
            </w:r>
          </w:p>
        </w:tc>
        <w:tc>
          <w:tcPr>
            <w:tcW w:w="7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 sharing agreement with Parent</w:t>
            </w:r>
          </w:p>
        </w:tc>
        <w:tc>
          <w:tcPr>
            <w:tcW w:w="7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Conversion of Class B common stock to Class A common stock</w:t>
            </w:r>
          </w:p>
        </w:tc>
        <w:tc>
          <w:tcPr>
            <w:tcW w:w="7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440" w:type="dxa"/>
            <w:vAlign w:val="bottom"/>
            <w:tcBorders>
              <w:bottom w:val="single" w:sz="8" w:color="auto"/>
            </w:tcBorders>
          </w:tcPr>
          <w:p>
            <w:pPr>
              <w:spacing w:after="0"/>
              <w:rPr>
                <w:sz w:val="10"/>
                <w:szCs w:val="10"/>
                <w:color w:val="auto"/>
              </w:rPr>
            </w:pPr>
          </w:p>
        </w:tc>
        <w:tc>
          <w:tcPr>
            <w:tcW w:w="4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960" w:hanging="316"/>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million.</w:t>
      </w:r>
    </w:p>
    <w:p>
      <w:pPr>
        <w:spacing w:after="0" w:line="225"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ectPr>
          <w:pgSz w:w="11900" w:h="16838" w:orient="portrait"/>
          <w:cols w:equalWidth="0" w:num="1">
            <w:col w:w="10400"/>
          </w:cols>
          <w:pgMar w:left="440" w:top="106"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400"/>
          </w:cols>
          <w:pgMar w:left="440" w:top="106" w:right="1059"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1 - GENERAL</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Mobileye Global Inc. (“Mobileye”, “the Company” or “we”) is a leader in the development and deployment of advanced driver assistance systems (“ADAS”) and autonomous driving technologies and solutions, aimed to provide the capabilities required for the future of autonomous driving, leveraging a comprehensive suite of purpose-built software and hardware technologies.</w:t>
      </w:r>
    </w:p>
    <w:p>
      <w:pPr>
        <w:spacing w:after="0" w:line="176"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Intel Corporation (“Intel” or the “Parent”) directly or indirectly holds all of the Class B common stock of Mobileye as well as 50,000,000 shares of Class A common stock, which as of September 26, 2026, together represent approximately 76.2% of our outstanding common stock and 96.8% of the voting power of our common stock.</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left="640" w:firstLine="324"/>
        <w:spacing w:after="0" w:line="252"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responded. In addition, Iran, Hezbollah and the Houthi movement attacked military and civilian targets in Israel, to which Israel responded, including through increased air and/or ground operations in Lebanon, Syria, Yemen and Iran. Following years of conflict in the region, on October 9, 2025, Israel, Hamas, the United States and other countries in the region agreed to a framework for a ceasefire in Gaza between Israel and Hamas. On February 28, 2026, the United States and Israel launched joint combat operations in Iran to which Iran and Hezbollah responded with ballistic missile and drone attacks on Israel as well as other countries and U.S. military bases in the region. Although the United States and Iran have announced ceasefire and de-escalation arrangements from time to time, including a memorandum of understanding entered into on June 17, 2026 that contemplates the termination of military operations on multiple fronts, hostilities have resumed and may continue or escalate.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To date, our operations have not been materially affected, although as of October 21, 2026 approximately 1.6% of our employees have been called to reserve duty in the Israel Defense Forces. However, since these are events beyond our control, their continuation or cessation may affect our expectations. We continue to monitor political and military developments closely and examine the consequences for our operations and assets.</w:t>
      </w:r>
    </w:p>
    <w:p>
      <w:pPr>
        <w:spacing w:after="0" w:line="19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Share Purchase Agreement for the acquisition of 100% of Mentee Robotics shares</w:t>
      </w:r>
    </w:p>
    <w:p>
      <w:pPr>
        <w:spacing w:after="0" w:line="229"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3, 2026, the Company and Mobileye Vision Technologies Ltd. (a wholly-owned indirect subsidiary of the Company) acquired 100% of the issued and outstanding stock of Mentee Robotics, a privately held Israeli company focused on humanoid robotics (the “Acquisition”), pursuant to a share purchase agreement dated as of January 5, 2026 (the “Share Purchase Agreement”) by and among the Company, Mobileye Vision Technologies Ltd., Mentee Robotics Ltd., the shareholders of Mentee Robotics, and Shareholder Representative Services LLC, as the exclusive representative of the Mentee Robotics shareholders. For further detail, see Note 13 </w:t>
      </w:r>
      <w:r>
        <w:rPr>
          <w:rFonts w:ascii="Times New Roman" w:cs="Times New Roman" w:eastAsia="Times New Roman" w:hAnsi="Times New Roman"/>
          <w:sz w:val="18"/>
          <w:szCs w:val="18"/>
          <w:i w:val="1"/>
          <w:iCs w:val="1"/>
          <w:color w:val="auto"/>
        </w:rPr>
        <w:t>Business Combinations.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have been prepared in accordance with United States generally accepted accounting principles (“U.S. GAAP”) and applicable rules and regulations of the Securities and Exchange Commission (“SEC”) for interim financial reporting.</w:t>
      </w:r>
    </w:p>
    <w:p>
      <w:pPr>
        <w:spacing w:after="0" w:line="176"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U.S. GAAP have been condensed or omitted pursuant to such rules and regulations. These condensed consolidated financial statements have been prepared on the same basis as the Company’s annual audited consolidated financial statements and, in the opinion of management, reflect all adjustments, consisting only of normal recurring adjustments, which are necessary for the fair statement of the Company’s financial information.</w:t>
      </w:r>
    </w:p>
    <w:p>
      <w:pPr>
        <w:sectPr>
          <w:pgSz w:w="11900" w:h="16838" w:orient="portrait"/>
          <w:cols w:equalWidth="0" w:num="1">
            <w:col w:w="10360"/>
          </w:cols>
          <w:pgMar w:left="440" w:top="106" w:right="1099" w:bottom="1440" w:gutter="0" w:footer="0" w:header="0"/>
        </w:sectPr>
      </w:pPr>
    </w:p>
    <w:p>
      <w:pPr>
        <w:spacing w:after="0" w:line="29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360"/>
          </w:cols>
          <w:pgMar w:left="440" w:top="106" w:right="109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We have a 52- or 53-week fiscal year that ends on the last Saturday in December. Fiscal year 2026 is a 52-week fiscal year; fiscal year 2025 was also a 52-week fiscal year.</w:t>
      </w:r>
    </w:p>
    <w:p>
      <w:pPr>
        <w:spacing w:after="0" w:line="162"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The results of operations for the three and nine months ended September 26, 2026 shown in this report are not necessarily indicative of the results to be expected for the full year ending December 26, 2026. The condensed consolidated financial statements should be read in conjunction with the audited consolidated financial statements for the fiscal year ended December 27, 2025.</w:t>
      </w:r>
    </w:p>
    <w:p>
      <w:pPr>
        <w:spacing w:after="0" w:line="176"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There have been no material changes in our significant accounting policies as described in our consolidated financial statements for the fiscal year ended December 27, 2025, except as detailed below regarding accounting for a business combination and research and development incentives. For further detail, see Note 2 in the audited consolidated financial statements for the fiscal year ended December 27, 2025.</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judgments and assumptions that affect the amounts and events reported and disclosed in the condensed consolidated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83"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On an on-going basis, management evaluates its estimates, judgments, and assumptions. The most significant estimates and assumptions relate to valuation of intangible assets, useful lives of intangible assets, impairment assessment of intangible assets and goodwill, income taxes and research and development incentives. A change in estimates, including a change in the overall market value of the Company, could require reassessments of the items noted above.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Research and Development Incentives</w:t>
      </w:r>
    </w:p>
    <w:p>
      <w:pPr>
        <w:spacing w:after="0" w:line="229" w:lineRule="exact"/>
        <w:rPr>
          <w:sz w:val="20"/>
          <w:szCs w:val="20"/>
          <w:color w:val="auto"/>
        </w:rPr>
      </w:pPr>
    </w:p>
    <w:p>
      <w:pPr>
        <w:jc w:val="both"/>
        <w:ind w:left="640" w:firstLine="324"/>
        <w:spacing w:after="0" w:line="219" w:lineRule="exact"/>
        <w:rPr>
          <w:sz w:val="20"/>
          <w:szCs w:val="20"/>
          <w:color w:val="auto"/>
        </w:rPr>
      </w:pPr>
      <w:r>
        <w:rPr>
          <w:rFonts w:ascii="Times New Roman" w:cs="Times New Roman" w:eastAsia="Times New Roman" w:hAnsi="Times New Roman"/>
          <w:sz w:val="18"/>
          <w:szCs w:val="18"/>
          <w:color w:val="auto"/>
        </w:rPr>
        <w:t>On March 29, 2026, a new law was enacted by the Israeli Knesset, the “Law for the Encouragement and Incentivization of Research and Development, 2026” (the “R&amp;D Law”). The R&amp;D Law introduces a refundable tax credit regime which applies to qualifying research and developments expenditures incurred in tax years beginning on or after January 1, 2026. The R&amp;D Law provides eligible companies with an incentive calculated as a percentage of qualifying research and development expenditures incurred in Israel. Subject to applicable statutory requirements and other conditions, the incentive may be offset against Israeli income taxes or Israeli qualified domestic minimum top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taxes (“QDMTT”). Alternatively, an unused grant may be received in cash after the prescribed carryforward period, or an eligible company may make an irrevocable election to receive the incentive as a cash grant rather than a credit.</w:t>
      </w:r>
    </w:p>
    <w:p>
      <w:pPr>
        <w:spacing w:after="0" w:line="198"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Because the incentive may be received in cash and is determined based on qualifying research and development expenditures, the Company accounts for this benefit using a government grant accounting model applied by analogy. The Company recognizes the incentive as qualifying expenditures are incurred, in the same period in which the related research and development expenses are recognized, when there is reasonable assurance that the Company will comply with the applicable conditions and the incentive will be received. The Company presents amounts recognized as a reduction of research and development expenses. As of September 26, 2026, the Company recognized an asset of $162 million under other long - term assets, with a corresponding reduction to research and development expenses in the amount of $52 million and $162 million for the three and nine months ended September 26, 2026, respectively.</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0360"/>
          </w:cols>
          <w:pgMar w:left="440" w:top="106" w:right="1099"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The Company makes a determination whether a transaction should be accounted for as a business combination or as an asset acquisition in accordance with ASC 805, Business Combinations. The Company accounts for business combinations using the acquisition method of accounting. The Company includes the results of operations of the businesses that it acquires in the consolidated financial statements beginning on the date of acquisition. The Company allocates the purchase price paid for assets acquired and liabilities assumed in connection with the Company’s acquisitions based on their estimated fair values at the date of acquisition. This allocation involves a number of assumptions, estimates, and judgments, including the following:</w:t>
      </w:r>
    </w:p>
    <w:p>
      <w:pPr>
        <w:spacing w:after="0" w:line="187" w:lineRule="exact"/>
        <w:rPr>
          <w:sz w:val="20"/>
          <w:szCs w:val="20"/>
          <w:color w:val="auto"/>
        </w:rPr>
      </w:pPr>
    </w:p>
    <w:p>
      <w:pPr>
        <w:ind w:left="640" w:firstLine="328"/>
        <w:spacing w:after="0" w:line="282" w:lineRule="auto"/>
        <w:tabs>
          <w:tab w:leader="none" w:pos="1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including the valuation methodology, estimations of future cash flows, discount rates, and growth rates, as well as the estimated useful life of intangible assets;</w:t>
      </w:r>
    </w:p>
    <w:p>
      <w:pPr>
        <w:spacing w:after="0" w:line="161" w:lineRule="exact"/>
        <w:rPr>
          <w:rFonts w:ascii="Times New Roman" w:cs="Times New Roman" w:eastAsia="Times New Roman" w:hAnsi="Times New Roman"/>
          <w:sz w:val="18"/>
          <w:szCs w:val="18"/>
          <w:color w:val="auto"/>
        </w:rPr>
      </w:pPr>
    </w:p>
    <w:p>
      <w:pPr>
        <w:ind w:left="640" w:firstLine="328"/>
        <w:spacing w:after="0" w:line="282" w:lineRule="auto"/>
        <w:tabs>
          <w:tab w:leader="none" w:pos="1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and liabilities, uncertain tax positions, and tax-related valuation allowances, which are initially estimated as of the acquisition date; and</w:t>
      </w:r>
    </w:p>
    <w:p>
      <w:pPr>
        <w:spacing w:after="0" w:line="161" w:lineRule="exact"/>
        <w:rPr>
          <w:rFonts w:ascii="Times New Roman" w:cs="Times New Roman" w:eastAsia="Times New Roman" w:hAnsi="Times New Roman"/>
          <w:sz w:val="18"/>
          <w:szCs w:val="18"/>
          <w:color w:val="auto"/>
        </w:rPr>
      </w:pPr>
    </w:p>
    <w:p>
      <w:pPr>
        <w:ind w:left="640" w:firstLine="328"/>
        <w:spacing w:after="0" w:line="282" w:lineRule="auto"/>
        <w:tabs>
          <w:tab w:leader="none" w:pos="128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measured as the excess of consideration transferred over the net of the acquisition date fair values of the assets acquired and the liabilities assumed.</w:t>
      </w:r>
    </w:p>
    <w:p>
      <w:pPr>
        <w:spacing w:after="0" w:line="162"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The Company’s assumptions and estimates are based on comparable market data and information obtained from the Company’s management and the management of the acquired companies. These assumptions and estimates are used to value assets acquired and liabilities assumed, and to allocate goodwill to the reporting unit of the business that is expected to benefit from the acquisition. During the measurement period, which may extend up to one year from the acquisition date, the Company may record adjustments to the preliminary allocation of the purchase consideration based on additional information about facts and circumstances that existed as of the acquisition date.</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Acquisition related expenses are recognized separately from the business combination and expensed as incurred.</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following is a reconciliation of the cash, cash equivalents and restricted cash as of each period end:</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7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70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80" w:type="dxa"/>
            <w:vAlign w:val="bottom"/>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8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 ​​December​ 27, 2025</w:t>
            </w:r>
          </w:p>
        </w:tc>
        <w:tc>
          <w:tcPr>
            <w:tcW w:w="20" w:type="dxa"/>
            <w:vAlign w:val="bottom"/>
          </w:tcPr>
          <w:p>
            <w:pPr>
              <w:spacing w:after="0"/>
              <w:rPr>
                <w:sz w:val="13"/>
                <w:szCs w:val="13"/>
                <w:color w:val="auto"/>
              </w:rPr>
            </w:pPr>
          </w:p>
        </w:tc>
      </w:tr>
      <w:tr>
        <w:trPr>
          <w:trHeight w:val="210"/>
        </w:trPr>
        <w:tc>
          <w:tcPr>
            <w:tcW w:w="7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Short term deposits</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8"/>
                <w:szCs w:val="18"/>
                <w:color w:val="auto"/>
              </w:rPr>
            </w:pPr>
          </w:p>
        </w:tc>
      </w:tr>
      <w:tr>
        <w:trPr>
          <w:trHeight w:val="216"/>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(within other current and other long-term assets)</w:t>
            </w: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r>
      <w:tr>
        <w:trPr>
          <w:trHeight w:val="174"/>
        </w:trPr>
        <w:tc>
          <w:tcPr>
            <w:tcW w:w="706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presented in the consolidated statements of cash</w:t>
            </w:r>
          </w:p>
        </w:tc>
        <w:tc>
          <w:tcPr>
            <w:tcW w:w="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38"/>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flows</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1,374</w:t>
            </w: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w:t>
            </w:r>
          </w:p>
        </w:tc>
        <w:tc>
          <w:tcPr>
            <w:tcW w:w="20" w:type="dxa"/>
            <w:vAlign w:val="bottom"/>
          </w:tcPr>
          <w:p>
            <w:pPr>
              <w:spacing w:after="0"/>
              <w:rPr>
                <w:sz w:val="20"/>
                <w:szCs w:val="20"/>
                <w:color w:val="auto"/>
              </w:rPr>
            </w:pPr>
          </w:p>
        </w:tc>
      </w:tr>
    </w:tbl>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229"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of short-term deposits, trade accounts receivable and accounts payable approximates their fair value due to the short maturity of these items.</w:t>
      </w:r>
    </w:p>
    <w:p>
      <w:pPr>
        <w:spacing w:after="0" w:line="162"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 in money market funds is measured at fair value within Level 1 of the fair value hierarchy because they consist of financial assets for which quoted prices are available in an active market. Interest income related to money market funds for the three months ended September 26, 2026 and September 27, 2025 amounted to $5 million and $10 million, respectively; and $17 million and $31 million for the nine months ended September 26, 2026 and September 27, 2025, respectively.</w:t>
      </w:r>
    </w:p>
    <w:p>
      <w:pPr>
        <w:spacing w:after="0" w:line="180"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The Company’s investment in U.S. government and corporate bonds is measured at fair value within Level 1 of the fair value hierarchy because they consist of U.S. bonds for which quoted prices are available in an active market.</w:t>
      </w:r>
    </w:p>
    <w:p>
      <w:pPr>
        <w:sectPr>
          <w:pgSz w:w="11900" w:h="16838" w:orient="portrait"/>
          <w:cols w:equalWidth="0" w:num="1">
            <w:col w:w="10360"/>
          </w:cols>
          <w:pgMar w:left="440" w:top="106" w:right="1099" w:bottom="1440" w:gutter="0" w:footer="0" w:header="0"/>
        </w:sectPr>
      </w:pPr>
    </w:p>
    <w:p>
      <w:pPr>
        <w:spacing w:after="0" w:line="27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360"/>
          </w:cols>
          <w:pgMar w:left="440" w:top="106" w:right="1099"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The Company’s derivative instruments designated as hedging instruments are measured at fair value within Level 2 of the fair value hierarchy.</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Research and development, net</w:t>
      </w:r>
    </w:p>
    <w:p>
      <w:pPr>
        <w:spacing w:after="0" w:line="229"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facilities, equipment, and supplies for research and development activities.</w:t>
      </w:r>
    </w:p>
    <w:p>
      <w:pPr>
        <w:spacing w:after="0" w:line="162"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87"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Participation in expenses for research and development projects are recognized on the basis of the costs incurred and are netted against research and development expenses in the condensed consolidated statements of operations and comprehensive income (loss). Research and development reimbursements of $26 million and $16 million were offset against research and development costs in the three months ended September 26, 2026 and September 27, 2025, respectively; and $76 million and $61 million were offset in the nine months ended September 26, 2026 and September 27, 2025, respectively.</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Derivatives and hedging</w:t>
      </w:r>
    </w:p>
    <w:p>
      <w:pPr>
        <w:spacing w:after="0" w:line="229" w:lineRule="exact"/>
        <w:rPr>
          <w:sz w:val="20"/>
          <w:szCs w:val="20"/>
          <w:color w:val="auto"/>
        </w:rPr>
      </w:pPr>
    </w:p>
    <w:p>
      <w:pPr>
        <w:jc w:val="both"/>
        <w:ind w:left="640" w:firstLine="324"/>
        <w:spacing w:after="0" w:line="253" w:lineRule="auto"/>
        <w:rPr>
          <w:sz w:val="20"/>
          <w:szCs w:val="20"/>
          <w:color w:val="auto"/>
        </w:rPr>
      </w:pPr>
      <w:r>
        <w:rPr>
          <w:rFonts w:ascii="Times New Roman" w:cs="Times New Roman" w:eastAsia="Times New Roman" w:hAnsi="Times New Roman"/>
          <w:sz w:val="18"/>
          <w:szCs w:val="18"/>
          <w:color w:val="auto"/>
        </w:rPr>
        <w:t>During the fourth quarter of 2024 the Company initiated a foreign currency cash flow hedging program, designed to hedge the Company’s foreign exchange rate risk, resulting from ILS payroll expenses. The Company hedges portions of its forecasted payroll payments denominated in ILS for a period of up to 12 months, using forward contracts or zero – cost collar contracts that are designated as cash flow hedges, as defined by ASC 815. These derivative instruments are measured at fair value within Level 2 of the fair value hierarchy. Derivative instruments are recorded as other current assets or other current liabilities, according to the timing of settlement. For these derivative instruments, designated as a cash flow hedge, gains and losses are reported as a component of other comprehensive income (loss) and reclassified into earnings in the same line item associated with the hedged transaction and in the same period or periods during which the hedged transaction affects the statement of operations and comprehensive income (loss). As of September 26, 2026, the Company expects to reclassify all of its unrealized gains and losses from accumulated other comprehensive income (loss) to earnings during the next twelve months. The cash flows associated with these derivatives are classified in the consolidated statements of cash flows consistently with the classification of the underlying hedged transaction, within cash flows from operating activities.</w:t>
      </w:r>
    </w:p>
    <w:p>
      <w:pPr>
        <w:spacing w:after="0" w:line="19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notional amount and fair value of outstanding derivatives at the end of each period were:</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100" w:type="dxa"/>
            <w:vAlign w:val="bottom"/>
          </w:tcPr>
          <w:p>
            <w:pPr>
              <w:ind w:left="19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60" w:type="dxa"/>
            <w:vAlign w:val="bottom"/>
            <w:vMerge w:val="continue"/>
          </w:tcPr>
          <w:p>
            <w:pPr>
              <w:spacing w:after="0"/>
              <w:rPr>
                <w:sz w:val="13"/>
                <w:szCs w:val="13"/>
                <w:color w:val="auto"/>
              </w:rPr>
            </w:pPr>
          </w:p>
        </w:tc>
        <w:tc>
          <w:tcPr>
            <w:tcW w:w="2100" w:type="dxa"/>
            <w:vAlign w:val="bottom"/>
          </w:tcPr>
          <w:p>
            <w:pPr>
              <w:ind w:left="19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15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December 27, 2025</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Notional amount of derivative contracts</w:t>
            </w:r>
          </w:p>
        </w:tc>
        <w:tc>
          <w:tcPr>
            <w:tcW w:w="2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34"/>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 assets</w:t>
            </w:r>
          </w:p>
        </w:tc>
        <w:tc>
          <w:tcPr>
            <w:tcW w:w="2100" w:type="dxa"/>
            <w:vAlign w:val="bottom"/>
          </w:tcPr>
          <w:p>
            <w:pPr>
              <w:spacing w:after="0"/>
              <w:rPr>
                <w:sz w:val="20"/>
                <w:szCs w:val="20"/>
                <w:color w:val="auto"/>
              </w:rPr>
            </w:pPr>
          </w:p>
        </w:tc>
        <w:tc>
          <w:tcPr>
            <w:tcW w:w="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360"/>
          </w:cols>
          <w:pgMar w:left="440" w:top="106" w:right="1099"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640" w:right="20" w:firstLine="324"/>
        <w:spacing w:after="0" w:line="282"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relating to gains (losses) on derivatives used for hedging were as follows:</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3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8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130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 ​​September​ 27,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3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vMerge w:val="continue"/>
            <w:shd w:val="clear" w:color="auto" w:fill="CCEEFF"/>
          </w:tcPr>
          <w:p>
            <w:pPr>
              <w:spacing w:after="0"/>
              <w:rPr>
                <w:sz w:val="18"/>
                <w:szCs w:val="18"/>
                <w:color w:val="auto"/>
              </w:rPr>
            </w:pPr>
          </w:p>
        </w:tc>
        <w:tc>
          <w:tcPr>
            <w:tcW w:w="5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vMerge w:val="continue"/>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Amounts reclassified out of accumulated other</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comprehensive (income) loss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72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effects</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3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Other comprehensive income (loss), net from hedging</w:t>
            </w: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transactions</w:t>
            </w:r>
          </w:p>
        </w:tc>
        <w:tc>
          <w:tcPr>
            <w:tcW w:w="54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8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b w:val="1"/>
                <w:bCs w:val="1"/>
                <w:color w:val="auto"/>
              </w:rPr>
              <w:t>(5)</w:t>
            </w:r>
          </w:p>
        </w:tc>
        <w:tc>
          <w:tcPr>
            <w:tcW w:w="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w:t>
            </w:r>
          </w:p>
        </w:tc>
        <w:tc>
          <w:tcPr>
            <w:tcW w:w="720" w:type="dxa"/>
            <w:vAlign w:val="bottom"/>
          </w:tcPr>
          <w:p>
            <w:pPr>
              <w:jc w:val="right"/>
              <w:ind w:right="5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60"/>
        <w:spacing w:after="0"/>
        <w:tabs>
          <w:tab w:leader="none" w:pos="1280" w:val="left"/>
        </w:tabs>
        <w:rPr>
          <w:sz w:val="20"/>
          <w:szCs w:val="20"/>
          <w:color w:val="auto"/>
        </w:rPr>
      </w:pPr>
      <w:r>
        <w:rPr>
          <w:rFonts w:ascii="Times New Roman" w:cs="Times New Roman" w:eastAsia="Times New Roman" w:hAnsi="Times New Roman"/>
          <w:sz w:val="18"/>
          <w:szCs w:val="18"/>
          <w:color w:val="auto"/>
        </w:rPr>
        <w:t>*</w:t>
        <w:tab/>
        <w:t>Less than $1 million.</w:t>
      </w:r>
    </w:p>
    <w:p>
      <w:pPr>
        <w:spacing w:after="0" w:line="225" w:lineRule="exact"/>
        <w:rPr>
          <w:sz w:val="20"/>
          <w:szCs w:val="20"/>
          <w:color w:val="auto"/>
        </w:rPr>
      </w:pPr>
    </w:p>
    <w:p>
      <w:pPr>
        <w:ind w:left="640" w:right="20" w:firstLine="328"/>
        <w:spacing w:after="0" w:line="282" w:lineRule="auto"/>
        <w:tabs>
          <w:tab w:leader="none" w:pos="12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of gains (losses) reclassified from other comprehensive income (loss) into profit or loss are recorded in cost of revenue and operating expenses.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left="640" w:right="2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consist primarily of cash and cash equivalents, which include short-term deposits, money market funds, U.S. government and corporate bonds, derivative financial instruments, and also trade accounts receivable.</w:t>
      </w:r>
    </w:p>
    <w:p>
      <w:pPr>
        <w:spacing w:after="0" w:line="176" w:lineRule="exact"/>
        <w:rPr>
          <w:sz w:val="20"/>
          <w:szCs w:val="20"/>
          <w:color w:val="auto"/>
        </w:rPr>
      </w:pPr>
    </w:p>
    <w:p>
      <w:pPr>
        <w:jc w:val="both"/>
        <w:ind w:left="640" w:right="20" w:firstLine="324"/>
        <w:spacing w:after="0" w:line="254"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invested in banks domiciled in the U.S. and Europe, as well as in Israel. Generally, these cash equivalents may be redeemed upon demand. Short-term bank deposits are held in the aforementioned banks. The money market funds consist of institutional investors money market funds and are readily redeemable to cash, and the U.S. government and corporate bonds are also highly liquid. Derivative financial instruments are forward contracts or zero - cost collar contracts entered into with major banks in Israel to hedge the Company’s foreign exchange rate risk. Accordingly, management believes that these bank deposits, money market funds, U.S. government bonds and derivative financial instruments have minimal credit risk. Our investments in U.S. corporate bonds are made with high-credit-quality counterparties, and we limit our credit exposure to any single counterparty.</w:t>
      </w:r>
    </w:p>
    <w:p>
      <w:pPr>
        <w:spacing w:after="0" w:line="192" w:lineRule="exact"/>
        <w:rPr>
          <w:sz w:val="20"/>
          <w:szCs w:val="20"/>
          <w:color w:val="auto"/>
        </w:rPr>
      </w:pPr>
    </w:p>
    <w:p>
      <w:pPr>
        <w:jc w:val="both"/>
        <w:ind w:left="640"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w:t>
      </w:r>
    </w:p>
    <w:p>
      <w:pPr>
        <w:spacing w:after="0" w:line="183" w:lineRule="exact"/>
        <w:rPr>
          <w:sz w:val="20"/>
          <w:szCs w:val="20"/>
          <w:color w:val="auto"/>
        </w:rPr>
      </w:pPr>
    </w:p>
    <w:p>
      <w:pPr>
        <w:jc w:val="both"/>
        <w:ind w:left="640"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has not experienced any material losses in the periods presented. The Company recognizes an allowance for credit losses for any potential uncollectible amounts. The allowance is based on various factors, including historical experience, the age of the accounts receivable balances, credit quality of the customers, and other reasonable and supportable information. This allowance consists of an amount based on overall estimated exposure for the receivable portfolio and amounts identified for specific customers. Expected credit losses are recorded as general and administrative expenses in the Company’s condensed consolidated statement of operations and comprehensive income (loss). As of September 26, 2026 and December 27, 2025, the credit loss allowance for trade accounts receivable was not material. For the three and nine months ended September 26, 2026 and September 27, 2025, the charge-offs and recoveries in relation to the credit losses were not material.</w:t>
      </w:r>
    </w:p>
    <w:p>
      <w:pPr>
        <w:sectPr>
          <w:pgSz w:w="11900" w:h="16838" w:orient="portrait"/>
          <w:cols w:equalWidth="0" w:num="1">
            <w:col w:w="10380"/>
          </w:cols>
          <w:pgMar w:left="440" w:top="106"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380"/>
          </w:cols>
          <w:pgMar w:left="440" w:top="106" w:right="1079"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Customer concentration risk</w:t>
      </w:r>
    </w:p>
    <w:p>
      <w:pPr>
        <w:spacing w:after="0" w:line="229" w:lineRule="exact"/>
        <w:rPr>
          <w:sz w:val="20"/>
          <w:szCs w:val="20"/>
          <w:color w:val="auto"/>
        </w:rPr>
      </w:pPr>
    </w:p>
    <w:p>
      <w:pPr>
        <w:jc w:val="both"/>
        <w:ind w:left="6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9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related to customers that accounted for more than 10% of the Company’s total revenue and more than 10% of the total accounts receivable balance for each of the periods presented in these condensed consolidated financial statements.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Dependence on a single supplier or limited suppliers risk</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The Company purchases all its System on Chip (“EyeQ™ SoC”) from a single supplier. For certain materials, equipment, and services, we, and/or our suppliers and vendors, rely on a single or a limited number of direct and indirect suppliers and vendors. Any issues that occur and persist in connection with the manufacture, delivery, quality, or cost of the assembly and testing of inventory could adversely affect the Company’s business, results of operations and financial condition.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Supply chain risk</w:t>
      </w:r>
    </w:p>
    <w:p>
      <w:pPr>
        <w:spacing w:after="0" w:line="229" w:lineRule="exact"/>
        <w:rPr>
          <w:sz w:val="20"/>
          <w:szCs w:val="20"/>
          <w:color w:val="auto"/>
        </w:rPr>
      </w:pPr>
    </w:p>
    <w:p>
      <w:pPr>
        <w:jc w:val="both"/>
        <w:ind w:left="640" w:firstLine="324"/>
        <w:spacing w:after="0" w:line="251" w:lineRule="auto"/>
        <w:rPr>
          <w:sz w:val="20"/>
          <w:szCs w:val="20"/>
          <w:color w:val="auto"/>
        </w:rPr>
      </w:pPr>
      <w:r>
        <w:rPr>
          <w:rFonts w:ascii="Times New Roman" w:cs="Times New Roman" w:eastAsia="Times New Roman" w:hAnsi="Times New Roman"/>
          <w:sz w:val="18"/>
          <w:szCs w:val="18"/>
          <w:color w:val="auto"/>
        </w:rPr>
        <w:t>Our solutions are dependent on the global semiconductor supply chain. The continued and timely supply of input materials, the availability of manufacturing capacity, and packaging and testing services at reasonable prices impact our ability to meet customer demand. In prior periods, we experienced supply chain disruptions, raw material shortages and manufacturing capacity constraints that reduced the availability of key components, including EyeQ™ SoCs, and resulted in lower inventory levels and limitations on our ability to meet customer demand. As supply conditions improved, we increased inventory levels to help mitigate potential future constraints. However, as supply constraints continue or recur, depending on their duration and severity, we may again be required to operate with reduced inventory levels, which could limit our ability to meet customer demand. As a result, we are substantially reliant on timely shipments of EyeQ™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Beginning in 2025 and continuing through the third quarter of 2026 the AI industry has generated increased demand for components necessary for the production of our solutions, including EyeQ™ SoCs and ECUs for our SuperVision™, Mobileye Chauffeur™ and Mobileye Drive™ solutions. This new demand has resulted in and may continue to result in increased competition for and shortages of components necessary for our solutions, substantial increases in prices for such components and suppliers requiring us to increase lead times and purchase greater quantities of such components in advance in order to ensure we secure sufficient supply. Such shortages of components, as well as the increases in pricing, order requirements and lead times, has and may continue to impact our ability to supply solutions to our customers in order to meet demand as well as impact OEMs’ ability to purchase our solutions.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currently do not anticipate that our current supply chain constraints would materially adversely affect our results of operations, capital resources, sales, profits, and liquidity on a long-term basis.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360"/>
          </w:cols>
          <w:pgMar w:left="440" w:top="106" w:right="109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adopted in the period</w:t>
      </w:r>
    </w:p>
    <w:p>
      <w:pPr>
        <w:spacing w:after="0" w:line="227"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July 2025, the FASB issued Accounting Standards Update 2025-05,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 of Credit Losses for Accounts Receivable and Contract Assets </w:t>
      </w:r>
      <w:r>
        <w:rPr>
          <w:rFonts w:ascii="Times New Roman" w:cs="Times New Roman" w:eastAsia="Times New Roman" w:hAnsi="Times New Roman"/>
          <w:sz w:val="18"/>
          <w:szCs w:val="18"/>
          <w:color w:val="auto"/>
        </w:rPr>
        <w:t>(“ASU 2025-05”). ASU 2025-05 provides a practical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expedient that all entities can use when estimating expected credit losses for current accounts receivable and current contract assets arising from transactions accounted for under ASC 606, Revenue from Contracts with Customers. Under this practical expedient, an entity is allowed to assume that the current conditions it has applied in determining credit loss allowances for current accounts receivable and current contract assets remain unchanged for the remaining life of those assets. ASU 2025-05 is effective for fiscal years beginning after December 15, 2025, including interim reporting periods within those fiscal years. Entities that elect the practical expedient and, if applicable, make the accounting policy election are required to apply the amendments prospectively. ASU 2025-05 did not have a material impact on the Company’s consolidated financial statements.</w:t>
      </w:r>
    </w:p>
    <w:p>
      <w:pPr>
        <w:spacing w:after="0" w:line="1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effective in future periods</w:t>
      </w:r>
    </w:p>
    <w:p>
      <w:pPr>
        <w:spacing w:after="0" w:line="227" w:lineRule="exact"/>
        <w:rPr>
          <w:sz w:val="20"/>
          <w:szCs w:val="20"/>
          <w:color w:val="auto"/>
        </w:rPr>
      </w:pPr>
    </w:p>
    <w:p>
      <w:pPr>
        <w:jc w:val="both"/>
        <w:ind w:left="6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2024-03, </w:t>
      </w:r>
      <w:r>
        <w:rPr>
          <w:rFonts w:ascii="Times New Roman" w:cs="Times New Roman" w:eastAsia="Times New Roman" w:hAnsi="Times New Roman"/>
          <w:sz w:val="18"/>
          <w:szCs w:val="18"/>
          <w:i w:val="1"/>
          <w:iCs w:val="1"/>
          <w:color w:val="auto"/>
        </w:rPr>
        <w:t>Income Statement - Reporting Comprehensive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Income - Expense Disaggregation Disclosure (Subtopic 220-40): Disaggregation of Income Statement Expense </w:t>
      </w:r>
      <w:r>
        <w:rPr>
          <w:rFonts w:ascii="Times New Roman" w:cs="Times New Roman" w:eastAsia="Times New Roman" w:hAnsi="Times New Roman"/>
          <w:sz w:val="18"/>
          <w:szCs w:val="18"/>
          <w:color w:val="auto"/>
        </w:rPr>
        <w:t>(“ASU 2024-03”)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Update 2025-01</w:t>
      </w:r>
      <w:r>
        <w:rPr>
          <w:rFonts w:ascii="Times New Roman" w:cs="Times New Roman" w:eastAsia="Times New Roman" w:hAnsi="Times New Roman"/>
          <w:sz w:val="18"/>
          <w:szCs w:val="18"/>
          <w:i w:val="1"/>
          <w:iCs w:val="1"/>
          <w:color w:val="auto"/>
        </w:rPr>
        <w:t>, 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Clarifying the Effective Date </w:t>
      </w:r>
      <w:r>
        <w:rPr>
          <w:rFonts w:ascii="Times New Roman" w:cs="Times New Roman" w:eastAsia="Times New Roman" w:hAnsi="Times New Roman"/>
          <w:sz w:val="18"/>
          <w:szCs w:val="18"/>
          <w:color w:val="auto"/>
        </w:rPr>
        <w:t>(“ASU 2025-01”)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2024-03 and ASU 2025-01 improves the disclosures about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business entity’s expenses and provides more detailed information about the types of expenses in commonly presented expense captions. The amendments require that at each interim and annual reporting period an entity will, inter alia, disclose amounts of purchases of inventory, employee compensation, depreciation and amortization included in each relevant expense caption (such as cost of revenue, general and administrative, and research and development). ASU 2024-03 and ASU 2025-01 are both effective for annual reporting periods beginning after December 15, 2026, and interim periods within annual reporting periods beginning after December 15, 2027. Early adoption is permitted. The Company is evaluating the potential impact of ASU 2024-03 and ASU 2025-01 on its consolidated financial statement disclosures.</w:t>
      </w:r>
    </w:p>
    <w:p>
      <w:pPr>
        <w:spacing w:after="0" w:line="192"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2025-06, </w:t>
      </w:r>
      <w:r>
        <w:rPr>
          <w:rFonts w:ascii="Times New Roman" w:cs="Times New Roman" w:eastAsia="Times New Roman" w:hAnsi="Times New Roman"/>
          <w:sz w:val="18"/>
          <w:szCs w:val="18"/>
          <w:i w:val="1"/>
          <w:iCs w:val="1"/>
          <w:color w:val="auto"/>
        </w:rPr>
        <w:t>Intangibles-Goodwill and Other-Internal-Use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Software (Subtopic 350-40): Targeted Improvements to the Accounting for Internal-Use Software </w:t>
      </w:r>
      <w:r>
        <w:rPr>
          <w:rFonts w:ascii="Times New Roman" w:cs="Times New Roman" w:eastAsia="Times New Roman" w:hAnsi="Times New Roman"/>
          <w:sz w:val="18"/>
          <w:szCs w:val="18"/>
          <w:color w:val="auto"/>
        </w:rPr>
        <w:t>(“ASU 2025-06”). ASU 2025-06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targeted improvements to the accounting for internal-use software costs by replacing the existing project-stage model with a principles-based approach to determine when capitalization of costs should begin. ASU 2025-06 is effective for all entities, on a prospective basis, for annual reporting periods beginning after December 15, 2027, including interim reporting periods within those fiscal years, with early adoption permitted. The Company is currently evaluating the potential impact that ASU 2025-06 will have on its consolidated financial statements.</w:t>
      </w:r>
    </w:p>
    <w:p>
      <w:pPr>
        <w:spacing w:after="0" w:line="183" w:lineRule="exact"/>
        <w:rPr>
          <w:sz w:val="20"/>
          <w:szCs w:val="20"/>
          <w:color w:val="auto"/>
        </w:rPr>
      </w:pPr>
    </w:p>
    <w:p>
      <w:pPr>
        <w:jc w:val="both"/>
        <w:ind w:left="640"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Accounting Standards Update 2025-11, </w:t>
      </w:r>
      <w:r>
        <w:rPr>
          <w:rFonts w:ascii="Times New Roman" w:cs="Times New Roman" w:eastAsia="Times New Roman" w:hAnsi="Times New Roman"/>
          <w:sz w:val="18"/>
          <w:szCs w:val="18"/>
          <w:i w:val="1"/>
          <w:iCs w:val="1"/>
          <w:color w:val="auto"/>
        </w:rPr>
        <w:t>Interim Reporting (Topic 270): Narrow-Scope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w:t>
      </w:r>
      <w:r>
        <w:rPr>
          <w:rFonts w:ascii="Times New Roman" w:cs="Times New Roman" w:eastAsia="Times New Roman" w:hAnsi="Times New Roman"/>
          <w:sz w:val="18"/>
          <w:szCs w:val="18"/>
          <w:color w:val="auto"/>
        </w:rPr>
        <w:t>(“ASU 2025-11”). ASU 2025-11 provides clarifications intended to improve the consistency and usability of interim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 requirements, including a comprehensive listing of required interim disclosures and a new disclosure principle for reporting material events occurring after the most recent annual period. The amendments do not change the underlying objectives of interim reporting but are designed to enhance clarity in application. ASU 2025-11 is effective for fiscal years beginning after December 15, 2027, including interim periods within those fiscal years, with early adoption permitted.</w:t>
      </w:r>
    </w:p>
    <w:p>
      <w:pPr>
        <w:spacing w:after="0" w:line="184" w:lineRule="exact"/>
        <w:rPr>
          <w:sz w:val="20"/>
          <w:szCs w:val="20"/>
          <w:color w:val="auto"/>
        </w:rPr>
      </w:pPr>
    </w:p>
    <w:p>
      <w:pPr>
        <w:jc w:val="both"/>
        <w:ind w:left="640" w:firstLine="324"/>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Accounting Standards Update 2025-10, Government Grants (Topic 832): Accounting for Government Grants Received by Business Entities (“ASU 2025-10”). The update provides recognition, measurement, presentation, and disclosure requirements for government grants, including guidance for grants related to an asset and grants related to income.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of ASU 2025-10 on its consolidated financial statements.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360"/>
          </w:cols>
          <w:pgMar w:left="440" w:top="106" w:right="109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3 - OTHER FINANCIAL STATEMENT DETAILS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63"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5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60" w:type="dxa"/>
            <w:vAlign w:val="bottom"/>
            <w:vMerge w:val="continue"/>
          </w:tcPr>
          <w:p>
            <w:pPr>
              <w:spacing w:after="0"/>
              <w:rPr>
                <w:sz w:val="13"/>
                <w:szCs w:val="13"/>
                <w:color w:val="auto"/>
              </w:rPr>
            </w:pPr>
          </w:p>
        </w:tc>
        <w:tc>
          <w:tcPr>
            <w:tcW w:w="2560" w:type="dxa"/>
            <w:vAlign w:val="bottom"/>
          </w:tcPr>
          <w:p>
            <w:pPr>
              <w:ind w:left="23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400" w:type="dxa"/>
            <w:vAlign w:val="bottom"/>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40" w:type="dxa"/>
            <w:vAlign w:val="bottom"/>
          </w:tcPr>
          <w:p>
            <w:pPr>
              <w:spacing w:after="0"/>
              <w:rPr>
                <w:sz w:val="13"/>
                <w:szCs w:val="13"/>
                <w:color w:val="auto"/>
              </w:rPr>
            </w:pPr>
          </w:p>
        </w:tc>
        <w:tc>
          <w:tcPr>
            <w:tcW w:w="400" w:type="dxa"/>
            <w:vAlign w:val="bottom"/>
            <w:gridSpan w:val="3"/>
          </w:tcPr>
          <w:p>
            <w:pPr>
              <w:jc w:val="right"/>
              <w:ind w:right="136"/>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ind w:right="114"/>
              <w:spacing w:after="0" w:line="155" w:lineRule="exact"/>
              <w:rPr>
                <w:sz w:val="20"/>
                <w:szCs w:val="20"/>
                <w:color w:val="auto"/>
              </w:rPr>
            </w:pPr>
            <w:r>
              <w:rPr>
                <w:rFonts w:ascii="Times New Roman" w:cs="Times New Roman" w:eastAsia="Times New Roman" w:hAnsi="Times New Roman"/>
                <w:sz w:val="14"/>
                <w:szCs w:val="14"/>
                <w:b w:val="1"/>
                <w:bCs w:val="1"/>
                <w:color w:val="auto"/>
              </w:rPr>
              <w:t>December 27, 2025</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Raw materials</w:t>
            </w:r>
          </w:p>
        </w:tc>
        <w:tc>
          <w:tcPr>
            <w:tcW w:w="2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Work in process</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Finished goods</w:t>
            </w:r>
          </w:p>
        </w:tc>
        <w:tc>
          <w:tcPr>
            <w:tcW w:w="2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295</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Inventory write-downs and write-offs totaled $1 million and zero for the three months ended September 26, 2026 and September 27, 2025, respectively; and $1 million and $2 million for the nine months ended September 26, 2026 and September 27, 2025, respectively.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63"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820" w:type="dxa"/>
            <w:vAlign w:val="bottom"/>
            <w:tcBorders>
              <w:bottom w:val="single" w:sz="8" w:color="CCEEFF"/>
            </w:tcBorders>
            <w:vMerge w:val="continue"/>
          </w:tcPr>
          <w:p>
            <w:pPr>
              <w:spacing w:after="0"/>
              <w:rPr>
                <w:sz w:val="13"/>
                <w:szCs w:val="13"/>
                <w:color w:val="auto"/>
              </w:rPr>
            </w:pPr>
          </w:p>
        </w:tc>
        <w:tc>
          <w:tcPr>
            <w:tcW w:w="15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40" w:type="dxa"/>
            <w:vAlign w:val="bottom"/>
            <w:tcBorders>
              <w:bottom w:val="single" w:sz="8" w:color="auto"/>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112"/>
              <w:spacing w:after="0" w:line="155" w:lineRule="exact"/>
              <w:rPr>
                <w:sz w:val="20"/>
                <w:szCs w:val="20"/>
                <w:color w:val="auto"/>
              </w:rPr>
            </w:pPr>
            <w:r>
              <w:rPr>
                <w:rFonts w:ascii="Times New Roman" w:cs="Times New Roman" w:eastAsia="Times New Roman" w:hAnsi="Times New Roman"/>
                <w:sz w:val="14"/>
                <w:szCs w:val="14"/>
                <w:b w:val="1"/>
                <w:bCs w:val="1"/>
                <w:color w:val="auto"/>
              </w:rPr>
              <w:t>December 27,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Computers, electronic equipment and software</w:t>
            </w:r>
          </w:p>
        </w:tc>
        <w:tc>
          <w:tcPr>
            <w:tcW w:w="15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Vehicles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Buildings</w:t>
            </w: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1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gross</w:t>
            </w:r>
          </w:p>
        </w:tc>
        <w:tc>
          <w:tcPr>
            <w:tcW w:w="15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730</w:t>
            </w:r>
          </w:p>
        </w:tc>
        <w:tc>
          <w:tcPr>
            <w:tcW w:w="4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15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496</w:t>
            </w:r>
          </w:p>
        </w:tc>
        <w:tc>
          <w:tcPr>
            <w:tcW w:w="40" w:type="dxa"/>
            <w:vAlign w:val="bottom"/>
            <w:tcBorders>
              <w:top w:val="single" w:sz="8" w:color="auto"/>
            </w:tcBorders>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Depreciation expenses totaled $22 million and $18 million for the three months ended September 26, 2026 and September 27, 2025, respectively; and $64 million and $54 million for the nine months ended September 26, 2026 and September 27, 2025, respectively.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4 - EQUITY</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In April 2026, the Board of Directors authorized a program to repurchase up to $250 million of Mobileye’s outstanding Class A common stock (the “Repurchase Program”). Under the Repurchase Program, share repurchases may be made from time to time subject to general market conditions, opportunities and other factors. The Repurchase Program does not have a fixed expiration date and does not obligate the Company to acquire any specific dollar amount or number of shares.</w:t>
      </w:r>
    </w:p>
    <w:p>
      <w:pPr>
        <w:spacing w:after="0" w:line="180"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26, 2026, the Company repurchased 1,012,737 and 3,517,833 shares of outstanding Class A common stock for $9.5 million and $33 million.</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Mobileye Plan</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In June 2025, the stockholders of the Company approved the Amended and Restated Mobileye Global Inc. 2022 Equity Incentive Plan (the “2022 Plan”). Equity awards under the 2022 Plan are granted for Class A shares and vest upon the satisfaction of a service-based vesting condition, mostly over service periods of up to three years.</w:t>
      </w:r>
    </w:p>
    <w:p>
      <w:pPr>
        <w:sectPr>
          <w:pgSz w:w="11900" w:h="16838" w:orient="portrait"/>
          <w:cols w:equalWidth="0" w:num="1">
            <w:col w:w="10360"/>
          </w:cols>
          <w:pgMar w:left="440" w:top="106" w:right="1099" w:bottom="1440" w:gutter="0" w:footer="0" w:header="0"/>
        </w:sectPr>
      </w:pPr>
    </w:p>
    <w:p>
      <w:pPr>
        <w:spacing w:after="0" w:line="32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360"/>
          </w:cols>
          <w:pgMar w:left="440" w:top="106" w:right="109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The RSU activity for the nine months ended September 26, 2026 for RSUs granted to Company’s employees under the 2022 Plan was as follows: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76"/>
        </w:trPr>
        <w:tc>
          <w:tcPr>
            <w:tcW w:w="5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0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80" w:type="dxa"/>
            <w:vAlign w:val="bottom"/>
            <w:gridSpan w:val="2"/>
          </w:tcPr>
          <w:p>
            <w:pPr>
              <w:ind w:left="50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3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continue"/>
          </w:tcPr>
          <w:p>
            <w:pPr>
              <w:spacing w:after="0"/>
              <w:rPr>
                <w:sz w:val="13"/>
                <w:szCs w:val="13"/>
                <w:color w:val="auto"/>
              </w:rPr>
            </w:pPr>
          </w:p>
        </w:tc>
        <w:tc>
          <w:tcPr>
            <w:tcW w:w="34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0" w:type="dxa"/>
            <w:vAlign w:val="bottom"/>
          </w:tcPr>
          <w:p>
            <w:pPr>
              <w:spacing w:after="0"/>
              <w:rPr>
                <w:sz w:val="1"/>
                <w:szCs w:val="1"/>
                <w:color w:val="auto"/>
              </w:rPr>
            </w:pP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27, 2025</w:t>
            </w: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32,853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(12,242)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26, 2026</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The RSU activity for the three months ended September 26, 2026 for RSUs granted to Company’s employees under the 2022 Plan was as follows:</w:t>
      </w:r>
    </w:p>
    <w:p>
      <w:pPr>
        <w:spacing w:after="0" w:line="182" w:lineRule="exact"/>
        <w:rPr>
          <w:sz w:val="20"/>
          <w:szCs w:val="20"/>
          <w:color w:val="auto"/>
        </w:rPr>
      </w:pPr>
    </w:p>
    <w:tbl>
      <w:tblPr>
        <w:tblLayout w:type="fixed"/>
        <w:tblInd w:w="1620" w:type="dxa"/>
        <w:tblCellMar>
          <w:top w:w="0" w:type="dxa"/>
          <w:left w:w="0" w:type="dxa"/>
          <w:bottom w:w="0" w:type="dxa"/>
          <w:right w:w="0" w:type="dxa"/>
        </w:tblCellMar>
      </w:tblPr>
      <w:tr>
        <w:trPr>
          <w:trHeight w:val="176"/>
        </w:trPr>
        <w:tc>
          <w:tcPr>
            <w:tcW w:w="3960" w:type="dxa"/>
            <w:vAlign w:val="bottom"/>
          </w:tcPr>
          <w:p>
            <w:pPr>
              <w:spacing w:after="0"/>
              <w:rPr>
                <w:sz w:val="15"/>
                <w:szCs w:val="15"/>
                <w:color w:val="auto"/>
              </w:rPr>
            </w:pPr>
          </w:p>
        </w:tc>
        <w:tc>
          <w:tcPr>
            <w:tcW w:w="2220" w:type="dxa"/>
            <w:vAlign w:val="bottom"/>
            <w:gridSpan w:val="3"/>
          </w:tcPr>
          <w:p>
            <w:pPr>
              <w:ind w:left="1060"/>
              <w:spacing w:after="0"/>
              <w:rPr>
                <w:sz w:val="20"/>
                <w:szCs w:val="20"/>
                <w:color w:val="auto"/>
              </w:rPr>
            </w:pPr>
            <w:r>
              <w:rPr>
                <w:rFonts w:ascii="Times New Roman" w:cs="Times New Roman" w:eastAsia="Times New Roman" w:hAnsi="Times New Roman"/>
                <w:sz w:val="14"/>
                <w:szCs w:val="14"/>
                <w:b w:val="1"/>
                <w:bCs w:val="1"/>
                <w:color w:val="auto"/>
              </w:rPr>
              <w:t>​​​</w:t>
            </w:r>
          </w:p>
        </w:tc>
        <w:tc>
          <w:tcPr>
            <w:tcW w:w="16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 grant</w:t>
            </w:r>
          </w:p>
        </w:tc>
      </w:tr>
      <w:tr>
        <w:trPr>
          <w:trHeight w:val="173"/>
        </w:trPr>
        <w:tc>
          <w:tcPr>
            <w:tcW w:w="3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6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date fair value per share</w:t>
            </w:r>
          </w:p>
        </w:tc>
      </w:tr>
      <w:tr>
        <w:trPr>
          <w:trHeight w:val="156"/>
        </w:trPr>
        <w:tc>
          <w:tcPr>
            <w:tcW w:w="3960" w:type="dxa"/>
            <w:vAlign w:val="bottom"/>
            <w:tcBorders>
              <w:bottom w:val="single" w:sz="8" w:color="CCEEFF"/>
            </w:tcBorders>
          </w:tcPr>
          <w:p>
            <w:pPr>
              <w:spacing w:after="0"/>
              <w:rPr>
                <w:sz w:val="13"/>
                <w:szCs w:val="13"/>
                <w:color w:val="auto"/>
              </w:rPr>
            </w:pPr>
          </w:p>
        </w:tc>
        <w:tc>
          <w:tcPr>
            <w:tcW w:w="114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20" w:type="dxa"/>
            <w:vAlign w:val="bottom"/>
          </w:tcPr>
          <w:p>
            <w:pPr>
              <w:spacing w:after="0"/>
              <w:rPr>
                <w:sz w:val="13"/>
                <w:szCs w:val="13"/>
                <w:color w:val="auto"/>
              </w:rPr>
            </w:pPr>
          </w:p>
        </w:tc>
      </w:tr>
      <w:tr>
        <w:trPr>
          <w:trHeight w:val="21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27, 2026</w:t>
            </w:r>
          </w:p>
        </w:tc>
        <w:tc>
          <w:tcPr>
            <w:tcW w:w="1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38,224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2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18"/>
                <w:szCs w:val="18"/>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2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(10,792)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8"/>
                <w:szCs w:val="18"/>
                <w:color w:val="auto"/>
              </w:rPr>
            </w:pPr>
          </w:p>
        </w:tc>
      </w:tr>
      <w:tr>
        <w:trPr>
          <w:trHeight w:val="209"/>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26, 2026</w:t>
            </w: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61,123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20" w:type="dxa"/>
            <w:vAlign w:val="bottom"/>
          </w:tcPr>
          <w:p>
            <w:pPr>
              <w:spacing w:after="0"/>
              <w:rPr>
                <w:sz w:val="18"/>
                <w:szCs w:val="18"/>
                <w:color w:val="auto"/>
              </w:rPr>
            </w:pPr>
          </w:p>
        </w:tc>
      </w:tr>
      <w:tr>
        <w:trPr>
          <w:trHeight w:val="20"/>
        </w:trPr>
        <w:tc>
          <w:tcPr>
            <w:tcW w:w="3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As of September 26, 2026, the unrecognized compensation cost related to all unvested RSUs granted under the 2022 Plan, was $554 million, which is expected to be recognized as an expense over a weighted-average period of 1.85 years.</w:t>
      </w:r>
    </w:p>
    <w:p>
      <w:pPr>
        <w:spacing w:after="0" w:line="16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227"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acquisition of Mentee Robotics, 23,651,844 Restricted Shares of Class A common stock were issued to the Mentee Founders. Such Restricted Shares were deposited with a deferred consideration trustee and will be released in equal portions twenty-four and forty-eight months after the closing date of February 3, 2026, subject to continued employment, or under certain circumstances affiliation, with the Company and its subsidiaries. For further detail, refer to Note 13 </w:t>
      </w:r>
      <w:r>
        <w:rPr>
          <w:rFonts w:ascii="Times New Roman" w:cs="Times New Roman" w:eastAsia="Times New Roman" w:hAnsi="Times New Roman"/>
          <w:sz w:val="18"/>
          <w:szCs w:val="18"/>
          <w:i w:val="1"/>
          <w:iCs w:val="1"/>
          <w:color w:val="auto"/>
        </w:rPr>
        <w:t>Business Combination.</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Restricted Shares activity for the nine months ended September 26, 2026 was as follows:</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4780" w:type="dxa"/>
            <w:vAlign w:val="bottom"/>
          </w:tcPr>
          <w:p>
            <w:pPr>
              <w:spacing w:after="0"/>
              <w:rPr>
                <w:sz w:val="15"/>
                <w:szCs w:val="15"/>
                <w:color w:val="auto"/>
              </w:rPr>
            </w:pPr>
          </w:p>
        </w:tc>
        <w:tc>
          <w:tcPr>
            <w:tcW w:w="4960" w:type="dxa"/>
            <w:vAlign w:val="bottom"/>
            <w:gridSpan w:val="6"/>
          </w:tcPr>
          <w:p>
            <w:pPr>
              <w:ind w:left="1880"/>
              <w:spacing w:after="0"/>
              <w:rPr>
                <w:sz w:val="20"/>
                <w:szCs w:val="20"/>
                <w:color w:val="auto"/>
              </w:rPr>
            </w:pPr>
            <w:r>
              <w:rPr>
                <w:rFonts w:ascii="Times New Roman" w:cs="Times New Roman" w:eastAsia="Times New Roman" w:hAnsi="Times New Roman"/>
                <w:sz w:val="14"/>
                <w:szCs w:val="14"/>
                <w:b w:val="1"/>
                <w:bCs w:val="1"/>
                <w:color w:val="auto"/>
              </w:rPr>
              <w:t>​​Number​ of Restricted ​​Grant​ date fair value per</w:t>
            </w:r>
          </w:p>
        </w:tc>
      </w:tr>
      <w:tr>
        <w:trPr>
          <w:trHeight w:val="173"/>
        </w:trPr>
        <w:tc>
          <w:tcPr>
            <w:tcW w:w="4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5"/>
                <w:szCs w:val="15"/>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155"/>
        </w:trPr>
        <w:tc>
          <w:tcPr>
            <w:tcW w:w="4780" w:type="dxa"/>
            <w:vAlign w:val="bottom"/>
            <w:tcBorders>
              <w:bottom w:val="single" w:sz="8" w:color="CCEEFF"/>
            </w:tcBorders>
          </w:tcPr>
          <w:p>
            <w:pPr>
              <w:spacing w:after="0"/>
              <w:rPr>
                <w:sz w:val="13"/>
                <w:szCs w:val="13"/>
                <w:color w:val="auto"/>
              </w:rPr>
            </w:pPr>
          </w:p>
        </w:tc>
        <w:tc>
          <w:tcPr>
            <w:tcW w:w="1940" w:type="dxa"/>
            <w:vAlign w:val="bottom"/>
            <w:tcBorders>
              <w:bottom w:val="single" w:sz="8" w:color="CCEEFF"/>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20" w:type="dxa"/>
            <w:vAlign w:val="bottom"/>
          </w:tcPr>
          <w:p>
            <w:pPr>
              <w:spacing w:after="0"/>
              <w:rPr>
                <w:sz w:val="13"/>
                <w:szCs w:val="13"/>
                <w:color w:val="auto"/>
              </w:rPr>
            </w:pPr>
          </w:p>
        </w:tc>
      </w:tr>
      <w:tr>
        <w:trPr>
          <w:trHeight w:val="21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27, 2025</w:t>
            </w:r>
          </w:p>
        </w:tc>
        <w:tc>
          <w:tcPr>
            <w:tcW w:w="19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23,652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r>
      <w:tr>
        <w:trPr>
          <w:trHeight w:val="210"/>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26, 2026</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Restricted Shares activity for the three months ended September 26, 2026 was as follows:</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3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Restricted</w:t>
            </w:r>
          </w:p>
        </w:tc>
        <w:tc>
          <w:tcPr>
            <w:tcW w:w="17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​​​Grant date fair value per</w:t>
            </w:r>
          </w:p>
        </w:tc>
      </w:tr>
      <w:tr>
        <w:trPr>
          <w:trHeight w:val="173"/>
        </w:trPr>
        <w:tc>
          <w:tcPr>
            <w:tcW w:w="47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3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w:t>
            </w:r>
          </w:p>
        </w:tc>
      </w:tr>
      <w:tr>
        <w:trPr>
          <w:trHeight w:val="155"/>
        </w:trPr>
        <w:tc>
          <w:tcPr>
            <w:tcW w:w="474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13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28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Times New Roman" w:cs="Times New Roman" w:eastAsia="Times New Roman" w:hAnsi="Times New Roman"/>
                <w:sz w:val="14"/>
                <w:szCs w:val="14"/>
                <w:b w:val="1"/>
                <w:bCs w:val="1"/>
                <w:color w:val="auto"/>
              </w:rPr>
              <w:t>U.S. dollars</w:t>
            </w:r>
          </w:p>
        </w:tc>
        <w:tc>
          <w:tcPr>
            <w:tcW w:w="20" w:type="dxa"/>
            <w:vAlign w:val="bottom"/>
          </w:tcPr>
          <w:p>
            <w:pPr>
              <w:spacing w:after="0"/>
              <w:rPr>
                <w:sz w:val="13"/>
                <w:szCs w:val="13"/>
                <w:color w:val="auto"/>
              </w:rPr>
            </w:pPr>
          </w:p>
        </w:tc>
      </w:tr>
      <w:tr>
        <w:trPr>
          <w:trHeight w:val="21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June 27, 2026</w:t>
            </w:r>
          </w:p>
        </w:tc>
        <w:tc>
          <w:tcPr>
            <w:tcW w:w="192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23,652</w:t>
            </w:r>
          </w:p>
        </w:tc>
        <w:tc>
          <w:tcPr>
            <w:tcW w:w="1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18"/>
                <w:szCs w:val="18"/>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Outstanding as of September 26, 2026</w:t>
            </w:r>
          </w:p>
        </w:tc>
        <w:tc>
          <w:tcPr>
            <w:tcW w:w="192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23,652</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20" w:type="dxa"/>
            <w:vAlign w:val="bottom"/>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16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360"/>
          </w:cols>
          <w:pgMar w:left="440" w:top="106" w:right="1099"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640" w:right="40" w:firstLine="324"/>
        <w:spacing w:after="0" w:line="282" w:lineRule="auto"/>
        <w:rPr>
          <w:sz w:val="20"/>
          <w:szCs w:val="20"/>
          <w:color w:val="auto"/>
        </w:rPr>
      </w:pPr>
      <w:r>
        <w:rPr>
          <w:rFonts w:ascii="Times New Roman" w:cs="Times New Roman" w:eastAsia="Times New Roman" w:hAnsi="Times New Roman"/>
          <w:sz w:val="18"/>
          <w:szCs w:val="18"/>
          <w:color w:val="auto"/>
        </w:rPr>
        <w:t>As of September 26, 2026, the unrecognized compensation cost related to all unvested Restricted Shares, was $173 million, which is expected to be recognized as an expense over a weighted-average period of 3.36 years.</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 summary</w:t>
      </w:r>
    </w:p>
    <w:p>
      <w:pPr>
        <w:spacing w:after="0" w:line="2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Expenses recognized</w:t>
      </w:r>
    </w:p>
    <w:p>
      <w:pPr>
        <w:spacing w:after="0" w:line="227" w:lineRule="exact"/>
        <w:rPr>
          <w:sz w:val="20"/>
          <w:szCs w:val="20"/>
          <w:color w:val="auto"/>
        </w:rPr>
      </w:pPr>
    </w:p>
    <w:p>
      <w:pPr>
        <w:ind w:left="640" w:right="40" w:firstLine="324"/>
        <w:spacing w:after="0" w:line="282" w:lineRule="auto"/>
        <w:rPr>
          <w:sz w:val="20"/>
          <w:szCs w:val="20"/>
          <w:color w:val="auto"/>
        </w:rPr>
      </w:pPr>
      <w:r>
        <w:rPr>
          <w:rFonts w:ascii="Times New Roman" w:cs="Times New Roman" w:eastAsia="Times New Roman" w:hAnsi="Times New Roman"/>
          <w:sz w:val="18"/>
          <w:szCs w:val="18"/>
          <w:color w:val="auto"/>
        </w:rPr>
        <w:t>Share-based compensation expenses included in the condensed consolidated statements of operations and comprehensive income (loss) were as follows:</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480" w:type="dxa"/>
            <w:vAlign w:val="bottom"/>
            <w:gridSpan w:val="2"/>
            <w:vMerge w:val="continue"/>
          </w:tcPr>
          <w:p>
            <w:pPr>
              <w:spacing w:after="0"/>
              <w:rPr>
                <w:sz w:val="13"/>
                <w:szCs w:val="13"/>
                <w:color w:val="auto"/>
              </w:rPr>
            </w:pPr>
          </w:p>
        </w:tc>
        <w:tc>
          <w:tcPr>
            <w:tcW w:w="1040" w:type="dxa"/>
            <w:vAlign w:val="bottom"/>
          </w:tcPr>
          <w:p>
            <w:pPr>
              <w:ind w:left="9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September 26, 2026</w:t>
            </w:r>
          </w:p>
        </w:tc>
        <w:tc>
          <w:tcPr>
            <w:tcW w:w="13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September 27, 2025</w:t>
            </w:r>
          </w:p>
        </w:tc>
        <w:tc>
          <w:tcPr>
            <w:tcW w:w="14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w:t>
            </w:r>
            <w:r>
              <w:rPr>
                <w:rFonts w:ascii="Times New Roman" w:cs="Times New Roman" w:eastAsia="Times New Roman" w:hAnsi="Times New Roman"/>
                <w:sz w:val="14"/>
                <w:szCs w:val="14"/>
                <w:color w:val="auto"/>
              </w:rPr>
              <w:t>​</w:t>
            </w:r>
          </w:p>
        </w:tc>
        <w:tc>
          <w:tcPr>
            <w:tcW w:w="132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26, 2026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September</w:t>
            </w:r>
            <w:r>
              <w:rPr>
                <w:rFonts w:ascii="Times New Roman" w:cs="Times New Roman" w:eastAsia="Times New Roman" w:hAnsi="Times New Roman"/>
                <w:sz w:val="14"/>
                <w:szCs w:val="14"/>
                <w:color w:val="auto"/>
              </w:rPr>
              <w:t>​</w:t>
            </w: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7"/>
              </w:rPr>
              <w:t>27, 2025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 (1)</w:t>
            </w:r>
          </w:p>
        </w:tc>
        <w:tc>
          <w:tcPr>
            <w:tcW w:w="1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10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440" w:type="dxa"/>
            <w:vAlign w:val="bottom"/>
            <w:tcBorders>
              <w:bottom w:val="single" w:sz="8" w:color="auto"/>
            </w:tcBorders>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640" w:right="40" w:firstLine="328"/>
        <w:spacing w:after="0" w:line="266" w:lineRule="auto"/>
        <w:tabs>
          <w:tab w:leader="none" w:pos="128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including R&amp;D Law incentive grant related to ordinary income arising from sales of shares received from the settlement of RSUs as further detailed in Note 2 under Research and Development Incentives, which depends on the actual sale of the shares of common stock issued upon the conversion of RSUs.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5 - EARNINGS (LOSS) PER SHARE</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earnings (loss) per share for the periods presented:</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40" w:type="dxa"/>
            <w:vAlign w:val="bottom"/>
            <w:gridSpan w:val="5"/>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80" w:type="dxa"/>
            <w:vAlign w:val="bottom"/>
            <w:gridSpan w:val="8"/>
          </w:tcPr>
          <w:p>
            <w:pPr>
              <w:ind w:lef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00" w:type="dxa"/>
            <w:vAlign w:val="bottom"/>
            <w:tcBorders>
              <w:top w:val="single" w:sz="8" w:color="auto"/>
            </w:tcBorders>
            <w:gridSpan w:val="3"/>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00" w:type="dxa"/>
            <w:vAlign w:val="bottom"/>
          </w:tcPr>
          <w:p>
            <w:pPr>
              <w:spacing w:after="0"/>
              <w:rPr>
                <w:sz w:val="13"/>
                <w:szCs w:val="13"/>
                <w:color w:val="auto"/>
              </w:rPr>
            </w:pPr>
          </w:p>
        </w:tc>
        <w:tc>
          <w:tcPr>
            <w:tcW w:w="1100" w:type="dxa"/>
            <w:vAlign w:val="bottom"/>
            <w:tcBorders>
              <w:top w:val="single" w:sz="8" w:color="auto"/>
            </w:tcBorders>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82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5"/>
                <w:szCs w:val="15"/>
                <w:color w:val="auto"/>
              </w:rPr>
            </w:pPr>
          </w:p>
        </w:tc>
        <w:tc>
          <w:tcPr>
            <w:tcW w:w="380" w:type="dxa"/>
            <w:vAlign w:val="bottom"/>
            <w:gridSpan w:val="2"/>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gridSpan w:val="2"/>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5"/>
                <w:szCs w:val="15"/>
                <w:color w:val="auto"/>
              </w:rPr>
            </w:pPr>
          </w:p>
        </w:tc>
        <w:tc>
          <w:tcPr>
            <w:tcW w:w="360" w:type="dxa"/>
            <w:vAlign w:val="bottom"/>
            <w:gridSpan w:val="3"/>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82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38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42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360" w:type="dxa"/>
            <w:vAlign w:val="bottom"/>
            <w:gridSpan w:val="3"/>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common shares - basic and diluted</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and diluted</w:t>
            </w:r>
          </w:p>
        </w:tc>
        <w:tc>
          <w:tcPr>
            <w:tcW w:w="5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20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2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right="40" w:firstLine="324"/>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26, 2026 and September 27, 2025, the computation of diluted earnings (loss) per share attributable to common stockholders does not include 82.3 million and 32.3 million potential common shares, respectively; and 64.7 million and 25.3 million potential common shares for the nine months ended September 26, 2026 and September 27, 2025, respectively, related to restricted stock units granted under the 2022 Plan to the Company’s employees, and restricted shares granted as part of the acquisition of Mentee Robotics, as the effect of their inclusion would have been anti-dilutive.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6 - INCOME TAXES</w:t>
      </w:r>
    </w:p>
    <w:p>
      <w:pPr>
        <w:spacing w:after="0" w:line="229" w:lineRule="exact"/>
        <w:rPr>
          <w:sz w:val="20"/>
          <w:szCs w:val="20"/>
          <w:color w:val="auto"/>
        </w:rPr>
      </w:pPr>
    </w:p>
    <w:p>
      <w:pPr>
        <w:jc w:val="both"/>
        <w:ind w:left="640"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Company’s quarterly benefit (provision) for income taxes and the estimates of its annual effective tax rate, are subject to fluctuation due to several factors, principally including variability in overall pre-tax income and the mix of tax paying components to which such income relates.</w:t>
      </w:r>
    </w:p>
    <w:p>
      <w:pPr>
        <w:spacing w:after="0" w:line="176" w:lineRule="exact"/>
        <w:rPr>
          <w:sz w:val="20"/>
          <w:szCs w:val="20"/>
          <w:color w:val="auto"/>
        </w:rPr>
      </w:pPr>
    </w:p>
    <w:p>
      <w:pPr>
        <w:jc w:val="both"/>
        <w:ind w:left="640" w:right="40" w:firstLine="324"/>
        <w:spacing w:after="0" w:line="282" w:lineRule="auto"/>
        <w:rPr>
          <w:sz w:val="20"/>
          <w:szCs w:val="20"/>
          <w:color w:val="auto"/>
        </w:rPr>
      </w:pPr>
      <w:r>
        <w:rPr>
          <w:rFonts w:ascii="Times New Roman" w:cs="Times New Roman" w:eastAsia="Times New Roman" w:hAnsi="Times New Roman"/>
          <w:sz w:val="18"/>
          <w:szCs w:val="18"/>
          <w:color w:val="auto"/>
        </w:rPr>
        <w:t>As the Company has jurisdictions that have sustained recent losses, a valuation allowance is required for deferred tax assets for which no benefit can be currently realized.</w:t>
      </w:r>
    </w:p>
    <w:p>
      <w:pPr>
        <w:sectPr>
          <w:pgSz w:w="11900" w:h="16838" w:orient="portrait"/>
          <w:cols w:equalWidth="0" w:num="1">
            <w:col w:w="10400"/>
          </w:cols>
          <w:pgMar w:left="440" w:top="106" w:right="10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400"/>
          </w:cols>
          <w:pgMar w:left="440" w:top="106" w:right="105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left="640" w:firstLine="324"/>
        <w:spacing w:after="0" w:line="255" w:lineRule="auto"/>
        <w:rPr>
          <w:sz w:val="20"/>
          <w:szCs w:val="20"/>
          <w:color w:val="auto"/>
        </w:rPr>
      </w:pPr>
      <w:r>
        <w:rPr>
          <w:rFonts w:ascii="Times New Roman" w:cs="Times New Roman" w:eastAsia="Times New Roman" w:hAnsi="Times New Roman"/>
          <w:sz w:val="18"/>
          <w:szCs w:val="18"/>
          <w:color w:val="auto"/>
        </w:rPr>
        <w:t>Benefit for income tax in the three months ended September 26, 2026, was $1 million compared to a provision of $(4) million in the three months ended September 27, 2025. This change was primarily due to the reduction in deferred tax liability resulting from the goodwill impairment to the Mobileye reporting unit which was recorded in the first quarter of 2026, partially offset by a lower loss before income taxes in foreign jurisdictions. Benefit for income tax in the nine months ended September 26, 2026 was $61 million compared to a provision for income tax of $(13) million in the nine months ended September 27, 2025. This was primarily due to the deferred tax effect of $67 million attributed to goodwill impairment to the Mobileye reporting unit which was recorded in the first quarter of 2026.</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7 - RELATED PARTIES TRANSACTIONS</w:t>
      </w:r>
    </w:p>
    <w:p>
      <w:pPr>
        <w:spacing w:after="0" w:line="229"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The Company has entered into a series of related party arrangements with Intel. For further description of the arrangements refer to Note 9 of the notes to the consolidated financial statements for the year ended December 27, 2025.</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Intel</w:t>
      </w:r>
    </w:p>
    <w:p>
      <w:pPr>
        <w:spacing w:after="0" w:line="2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Stock Compensation Recharge Agreement</w:t>
      </w:r>
    </w:p>
    <w:p>
      <w:pPr>
        <w:spacing w:after="0" w:line="227"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The Company entered into a stock compensation recharge agreement with Intel, which requires the Company to reimburse Intel for certain amounts, net of any related withholding tax, relating to the value of share-based compensation provided to the Company’s employees for RSUs or stock options exercisable in Intel stock. The reimbursement amounts recorded as an adjustment to additional paid-in capital in the condensed consolidated statement of changes in equity were zero and $2 million for the three months ended September 26, 2026 and September 27, 2025, respectively, and $0.2 million and $6 million for the nine months ended September 26, 2026 and September 27, 2025, respectively.</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Lease agreements</w:t>
      </w:r>
    </w:p>
    <w:p>
      <w:pPr>
        <w:spacing w:after="0" w:line="227"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Under lease agreements with Intel, the Company leases office space in Intel’s buildings. The costs are included in the condensed consolidated statements of operations and comprehensive income (loss) primarily on a specific and direct attribution basis. The leasing costs for the three months ended September 26, 2026 and September 27, 2025, were $0.1 million and $0.6 million, respectively, and $0.2 million and $1.9 million for the nine months ended September 26, 2026 and September 27, 2025, respectively.</w:t>
      </w:r>
    </w:p>
    <w:p>
      <w:pPr>
        <w:spacing w:after="0" w:line="17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227"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Under the Administrative Services Agreement, Intel provides the Company with administrative and other services. The Company pays fees to Intel for the services rendered based on pricing per service agreed between the Company and Intel.</w:t>
      </w:r>
    </w:p>
    <w:p>
      <w:pPr>
        <w:spacing w:after="0" w:line="162"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The costs incurred under this agreement for the three months ended September 26, 2026 and September 27, 2025 were $0.2 million and $0.5 million, respectively, and $0.5 million and $1.8 million for the nine months ended September 26, 2026 and September 27, 2025, respectively.</w:t>
      </w:r>
    </w:p>
    <w:p>
      <w:pPr>
        <w:spacing w:after="0" w:line="1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Technology and Services Agreement</w:t>
      </w:r>
    </w:p>
    <w:p>
      <w:pPr>
        <w:spacing w:after="0" w:line="227" w:lineRule="exact"/>
        <w:rPr>
          <w:sz w:val="20"/>
          <w:szCs w:val="20"/>
          <w:color w:val="auto"/>
        </w:rPr>
      </w:pPr>
    </w:p>
    <w:p>
      <w:pPr>
        <w:jc w:val="both"/>
        <w:ind w:left="640" w:firstLine="324"/>
        <w:spacing w:after="0" w:line="255" w:lineRule="auto"/>
        <w:rPr>
          <w:sz w:val="20"/>
          <w:szCs w:val="20"/>
          <w:color w:val="auto"/>
        </w:rPr>
      </w:pPr>
      <w:r>
        <w:rPr>
          <w:rFonts w:ascii="Times New Roman" w:cs="Times New Roman" w:eastAsia="Times New Roman" w:hAnsi="Times New Roman"/>
          <w:sz w:val="18"/>
          <w:szCs w:val="18"/>
          <w:color w:val="auto"/>
        </w:rPr>
        <w:t>The Technology and Services Agreement, provides a framework for the collaboration on technology projects and services between the Company and Intel (“Technology Projects”), and sets out the licenses granted by each party to its respective technology for the conduct of the Technology Projects, provisions relating to the ownership of certain existing technology, the allocation of rights in any new technology created in the course of the Technology Projects, and certain provisions applicable to the development of a certain radar product of the Company. The Technology and Services Agreement does not apply to projects for the development and manufacture of a lidar sensor system for automobiles. Pursuant to the Technology and Services Agreement, the Company and Intel agree to statements of work with additional terms for Technology Projects.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360"/>
          </w:cols>
          <w:pgMar w:left="440" w:top="106" w:right="1099"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The amounts incurred under this agreement for the three months ended September 26, 2026 and September 27, 2025 were $0.3 million and $0.6 million, respectively, and $0.9 million and $1.7 million for the nine months ended September 26, 2026 and September 27, 2025, respectively.</w:t>
      </w:r>
    </w:p>
    <w:p>
      <w:pPr>
        <w:spacing w:after="0" w:line="17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Tax Sharing Agreement</w:t>
      </w:r>
    </w:p>
    <w:p>
      <w:pPr>
        <w:spacing w:after="0" w:line="227"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The Tax Sharing Agreement establishes the respective rights, responsibilities and obligations of the Company and Intel after the completion of the Mobileye IPO with respect to tax matters, including the amount of cash the Company will pay to Intel for its share of the tax liability owed on the consolidated filings in which the Company or any of the Company’s subsidiaries are included, including audit or other tax proceedings. On August 14, 2024, Mobileye and Intel entered into an Amended and Restated Tax Sharing Agreement, which incorporated certain clarifying amendments into the original Tax Sharing Agreement. As a result of the Tax Deconsolidation, starting July 12, 2025, the computation of cash payable between the Company and Intel, under the Amended and Restated Tax Sharing Agreement, is no longer applicable with respect to U.S. federal income taxes. However, other obligations of the parties under the Amended and Restated Tax Sharing Agreement remain in effect. As of September 26, 2026 and December 27, 2025, the related party payable to Intel, pursuant to the Tax Sharing Agreement was zero.</w:t>
      </w:r>
    </w:p>
    <w:p>
      <w:pPr>
        <w:spacing w:after="0" w:line="1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Other reimbursements to Intel</w:t>
      </w:r>
    </w:p>
    <w:p>
      <w:pPr>
        <w:spacing w:after="0" w:line="227"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From time to time, in the ordinary course of business, the Company reimburses Intel for costs incurred by Intel with third-party service providers on behalf of the Company.</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Other services to a related party</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The Company reimbursed its Chief Executive Officer for reasonable travel related expenses incurred while conducting business on behalf of the Company as well as paid for certain security related costs. Travel-related reimbursements and security-related costs were $0.6 million and $0.8 million for the three months ended September 26, 2026 and September 27, 2025, respectively, and $1.4 million and $2.1 million for the nine months ended September 26, 2026 and September 27, 2025, respectively.</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Acquisition of Mentee Robotics</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On February 3, 2026, the Company and Mobileye Vision Technologies Ltd. (a wholly-owned indirect subsidiary of the Company) acquired 100% of the issued and outstanding stock of Mentee Robotics, pursuant to the Share Purchase Agreement, by and among the Company, Mobileye Vision Technologies Ltd., Mentee Robotics Ltd., the shareholders of Mentee Robotics, and Shareholder Representative Services LLC, as the exclusive representative of the Mentee Robotics shareholders.</w:t>
      </w:r>
    </w:p>
    <w:p>
      <w:pPr>
        <w:spacing w:after="0" w:line="180" w:lineRule="exact"/>
        <w:rPr>
          <w:sz w:val="20"/>
          <w:szCs w:val="20"/>
          <w:color w:val="auto"/>
        </w:rPr>
      </w:pPr>
    </w:p>
    <w:p>
      <w:pPr>
        <w:jc w:val="both"/>
        <w:ind w:left="6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The Acquisition was approved by the Board, acting on the recommendation of a strategic transaction committee consisting of four disinterested directors (two of whom are independent). The Audit Committee of the Board also approved the Acquisition pursuant to the Company’s Related Persons Transaction Policy. Intel, as the sole beneficial holder of the Company’s issued and outstanding Class B common stock, also approved the Acquisition pursuant to the Company’s Amended and Restated Certificate of Incorporation. Prof. Amnon Shashua recused himself from the Board’s consideration and approval of the Acquisition. Prof. Shashua, President and CEO of the Company, is the Chairman, Co-Founder and a significant shareholder of Mentee Robotics, and Prof. Shai Shalev-Shwartz Chief Technology Officer of the Company, is Co-Founder and a significant shareholder of Mentee Robotics. In addition, Prof. Shashua’s son and son-in-law, are both employees of Mentee Robotics, and received consideration for their vested and unvested options pursuant to the terms of the Share Purchase Agreement. Stock based compensation expenses for restricted shares issued to related parties as part of the acquisition, totaled $10 million and $26 million for the three and nine months ended September 26, 2026, respectively. For further detail, refer to Note 13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360"/>
          </w:cols>
          <w:pgMar w:left="440" w:top="106" w:right="1099"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8 - IDENTIFIED INTANGIBLE ASSETS</w:t>
      </w:r>
    </w:p>
    <w:p>
      <w:pPr>
        <w:spacing w:after="0" w:line="263"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r>
      <w:tr>
        <w:trPr>
          <w:trHeight w:val="156"/>
        </w:trPr>
        <w:tc>
          <w:tcPr>
            <w:tcW w:w="3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6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December 27, 2025</w:t>
            </w:r>
          </w:p>
        </w:tc>
        <w:tc>
          <w:tcPr>
            <w:tcW w:w="600" w:type="dxa"/>
            <w:vAlign w:val="bottom"/>
            <w:tcBorders>
              <w:bottom w:val="single" w:sz="8" w:color="auto"/>
            </w:tcBorders>
          </w:tcPr>
          <w:p>
            <w:pPr>
              <w:spacing w:after="0"/>
              <w:rPr>
                <w:sz w:val="13"/>
                <w:szCs w:val="13"/>
                <w:color w:val="auto"/>
              </w:rPr>
            </w:pPr>
          </w:p>
        </w:tc>
      </w:tr>
      <w:tr>
        <w:trPr>
          <w:trHeight w:val="158"/>
        </w:trPr>
        <w:tc>
          <w:tcPr>
            <w:tcW w:w="3140" w:type="dxa"/>
            <w:vAlign w:val="bottom"/>
          </w:tcPr>
          <w:p>
            <w:pPr>
              <w:spacing w:after="0"/>
              <w:rPr>
                <w:sz w:val="13"/>
                <w:szCs w:val="13"/>
                <w:color w:val="auto"/>
              </w:rPr>
            </w:pPr>
          </w:p>
        </w:tc>
        <w:tc>
          <w:tcPr>
            <w:tcW w:w="1060" w:type="dxa"/>
            <w:vAlign w:val="bottom"/>
            <w:gridSpan w:val="2"/>
          </w:tcPr>
          <w:p>
            <w:pPr>
              <w:jc w:val="right"/>
              <w:ind w:right="122"/>
              <w:spacing w:after="0" w:line="158"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3"/>
                <w:szCs w:val="13"/>
                <w:color w:val="auto"/>
              </w:rPr>
            </w:pPr>
          </w:p>
        </w:tc>
        <w:tc>
          <w:tcPr>
            <w:tcW w:w="106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3"/>
                <w:szCs w:val="13"/>
                <w:color w:val="auto"/>
              </w:rPr>
            </w:pPr>
          </w:p>
        </w:tc>
        <w:tc>
          <w:tcPr>
            <w:tcW w:w="38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3"/>
                <w:szCs w:val="13"/>
                <w:color w:val="auto"/>
              </w:rPr>
            </w:pPr>
          </w:p>
        </w:tc>
        <w:tc>
          <w:tcPr>
            <w:tcW w:w="100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3"/>
                <w:szCs w:val="13"/>
                <w:color w:val="auto"/>
              </w:rPr>
            </w:pPr>
          </w:p>
        </w:tc>
      </w:tr>
      <w:tr>
        <w:trPr>
          <w:trHeight w:val="173"/>
        </w:trPr>
        <w:tc>
          <w:tcPr>
            <w:tcW w:w="3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84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 Assets</w:t>
            </w:r>
          </w:p>
        </w:tc>
        <w:tc>
          <w:tcPr>
            <w:tcW w:w="16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209"/>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0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4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1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Developed IP</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8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09"/>
        </w:trPr>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8"/>
                <w:szCs w:val="18"/>
                <w:color w:val="auto"/>
              </w:rPr>
            </w:pPr>
          </w:p>
        </w:tc>
        <w:tc>
          <w:tcPr>
            <w:tcW w:w="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2,264</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998</w:t>
            </w:r>
          </w:p>
        </w:tc>
        <w:tc>
          <w:tcPr>
            <w:tcW w:w="16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4,482</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3,316</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1,166</w:t>
            </w:r>
          </w:p>
        </w:tc>
      </w:tr>
      <w:tr>
        <w:trPr>
          <w:trHeight w:val="20"/>
        </w:trPr>
        <w:tc>
          <w:tcPr>
            <w:tcW w:w="3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amortization expenses recorded for these identified intangible assets and their weighted average useful lives:</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5"/>
                <w:szCs w:val="15"/>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Weighted</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00" w:type="dxa"/>
            <w:vAlign w:val="bottom"/>
            <w:vMerge w:val="restart"/>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Average</w:t>
            </w:r>
          </w:p>
        </w:tc>
        <w:tc>
          <w:tcPr>
            <w:tcW w:w="0" w:type="dxa"/>
            <w:vAlign w:val="bottom"/>
          </w:tcPr>
          <w:p>
            <w:pPr>
              <w:spacing w:after="0" w:line="20" w:lineRule="exact"/>
              <w:rPr>
                <w:sz w:val="1"/>
                <w:szCs w:val="1"/>
                <w:color w:val="auto"/>
              </w:rPr>
            </w:pPr>
          </w:p>
        </w:tc>
      </w:tr>
      <w:tr>
        <w:trPr>
          <w:trHeight w:val="158"/>
        </w:trPr>
        <w:tc>
          <w:tcPr>
            <w:tcW w:w="33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94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10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September 27,</w:t>
            </w:r>
          </w:p>
        </w:tc>
        <w:tc>
          <w:tcPr>
            <w:tcW w:w="1120" w:type="dxa"/>
            <w:vAlign w:val="bottom"/>
            <w:gridSpan w:val="3"/>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September 26,</w:t>
            </w:r>
          </w:p>
        </w:tc>
        <w:tc>
          <w:tcPr>
            <w:tcW w:w="110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September 27,</w:t>
            </w: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282</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Developed IP</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 &amp; brands</w:t>
            </w:r>
          </w:p>
        </w:tc>
        <w:tc>
          <w:tcPr>
            <w:tcW w:w="1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amortization expenses</w:t>
            </w:r>
          </w:p>
        </w:tc>
        <w:tc>
          <w:tcPr>
            <w:tcW w:w="110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111</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333</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26, 2026 and September 27, 2025, the Company derecognized the cost and accumulated depreciation of fully depreciated intangible assets in the amount of $2,346 million and $9 million, respectively.</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Company expects future amortization expenses for the next five years and thereafter to be as follows:</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75"/>
        </w:trPr>
        <w:tc>
          <w:tcPr>
            <w:tcW w:w="29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Remainder</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3"/>
        </w:trPr>
        <w:tc>
          <w:tcPr>
            <w:tcW w:w="2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80" w:type="dxa"/>
            <w:vAlign w:val="bottom"/>
            <w:gridSpan w:val="2"/>
          </w:tcPr>
          <w:p>
            <w:pPr>
              <w:ind w:left="8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of 2026</w:t>
            </w:r>
          </w:p>
        </w:tc>
        <w:tc>
          <w:tcPr>
            <w:tcW w:w="3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2028</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2029</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2030</w:t>
            </w:r>
          </w:p>
        </w:tc>
        <w:tc>
          <w:tcPr>
            <w:tcW w:w="1140" w:type="dxa"/>
            <w:vAlign w:val="bottom"/>
            <w:gridSpan w:val="5"/>
          </w:tcPr>
          <w:p>
            <w:pPr>
              <w:jc w:val="right"/>
              <w:ind w:right="36"/>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Thereafter</w:t>
            </w:r>
            <w:r>
              <w:rPr>
                <w:rFonts w:ascii="Times New Roman" w:cs="Times New Roman" w:eastAsia="Times New Roman" w:hAnsi="Times New Roman"/>
                <w:sz w:val="14"/>
                <w:szCs w:val="14"/>
                <w:color w:val="auto"/>
              </w:rPr>
              <w:t xml:space="preserve"> ​​​</w:t>
            </w: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09"/>
        </w:trPr>
        <w:tc>
          <w:tcPr>
            <w:tcW w:w="2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Future amortization expenses</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0"/>
        </w:trPr>
        <w:tc>
          <w:tcPr>
            <w:tcW w:w="29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9 - SEGMENT INFORMATION</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76"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 Mobileye is presented as a reportable operating segment and Moovit, which is a mobility-as-a-service company, is presented within “Other” as per ASC 280, Segment Reporting.</w:t>
      </w:r>
    </w:p>
    <w:p>
      <w:pPr>
        <w:spacing w:after="0" w:line="180"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The CODM uses segment performance to allocate resources to segments in the annual budget and forecasting process and also uses that measure to assess the segment performance.</w:t>
      </w:r>
    </w:p>
    <w:p>
      <w:pPr>
        <w:spacing w:after="0" w:line="162"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Segment performance is the operating income (loss) reported excluding the amortization of acquisition-related intangible assets, share-based compensation expense, R&amp;D Law incentive grant related to ordinary income arising from sales of shares received from the settlement of RSUs, acquisition related expenses and impairment of goodwill.</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measure of assets has not been disclosed for each segment as it is not regularly provided to the CODM.</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360"/>
          </w:cols>
          <w:pgMar w:left="440" w:top="106" w:right="1099"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640" w:firstLine="324"/>
        <w:spacing w:after="0" w:line="282" w:lineRule="auto"/>
        <w:rPr>
          <w:sz w:val="20"/>
          <w:szCs w:val="20"/>
          <w:color w:val="auto"/>
        </w:rPr>
      </w:pPr>
      <w:r>
        <w:rPr>
          <w:rFonts w:ascii="Times New Roman" w:cs="Times New Roman" w:eastAsia="Times New Roman" w:hAnsi="Times New Roman"/>
          <w:sz w:val="18"/>
          <w:szCs w:val="18"/>
          <w:color w:val="auto"/>
        </w:rPr>
        <w:t>The accounting policies of the individual segments are the same as those described in the summary of significant accounting policies in Note 2 to the audited consolidated financial statements for the fiscal year ended December 27, 2025.</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following are segment results for each period as follows: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6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8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26, 2026</w:t>
            </w:r>
          </w:p>
        </w:tc>
        <w:tc>
          <w:tcPr>
            <w:tcW w:w="0" w:type="dxa"/>
            <w:vAlign w:val="bottom"/>
          </w:tcPr>
          <w:p>
            <w:pPr>
              <w:spacing w:after="0"/>
              <w:rPr>
                <w:sz w:val="1"/>
                <w:szCs w:val="1"/>
                <w:color w:val="auto"/>
              </w:rPr>
            </w:pPr>
          </w:p>
        </w:tc>
      </w:tr>
      <w:tr>
        <w:trPr>
          <w:trHeight w:val="155"/>
        </w:trPr>
        <w:tc>
          <w:tcPr>
            <w:tcW w:w="6000" w:type="dxa"/>
            <w:vAlign w:val="bottom"/>
            <w:vMerge w:val="continue"/>
          </w:tcPr>
          <w:p>
            <w:pPr>
              <w:spacing w:after="0"/>
              <w:rPr>
                <w:sz w:val="13"/>
                <w:szCs w:val="13"/>
                <w:color w:val="auto"/>
              </w:rPr>
            </w:pPr>
          </w:p>
        </w:tc>
        <w:tc>
          <w:tcPr>
            <w:tcW w:w="3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400" w:type="dxa"/>
            <w:vAlign w:val="bottom"/>
            <w:tcBorders>
              <w:top w:val="single" w:sz="8" w:color="auto"/>
            </w:tcBorders>
            <w:gridSpan w:val="2"/>
          </w:tcPr>
          <w:p>
            <w:pPr>
              <w:jc w:val="right"/>
              <w:ind w:right="11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Borders>
              <w:top w:val="single" w:sz="8" w:color="auto"/>
            </w:tcBorders>
            <w:gridSpan w:val="2"/>
          </w:tcPr>
          <w:p>
            <w:pPr>
              <w:jc w:val="right"/>
              <w:ind w:right="136"/>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R&amp;D Law incentive grant related to ordinary income arising from sales of shares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received from the settlement of RSUs</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12529"/>
              </w:rPr>
              <w:t>Financial income (expense), net</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00" w:type="dxa"/>
            <w:vAlign w:val="bottom"/>
            <w:vMerge w:val="continue"/>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7"/>
        </w:trPr>
        <w:tc>
          <w:tcPr>
            <w:tcW w:w="6000" w:type="dxa"/>
            <w:vAlign w:val="bottom"/>
          </w:tcPr>
          <w:p>
            <w:pPr>
              <w:spacing w:after="0"/>
              <w:rPr>
                <w:sz w:val="24"/>
                <w:szCs w:val="24"/>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280" w:type="dxa"/>
            <w:vAlign w:val="bottom"/>
            <w:gridSpan w:val="9"/>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Three Months Ended September 27, 2025</w:t>
            </w:r>
          </w:p>
        </w:tc>
        <w:tc>
          <w:tcPr>
            <w:tcW w:w="0" w:type="dxa"/>
            <w:vAlign w:val="bottom"/>
          </w:tcPr>
          <w:p>
            <w:pPr>
              <w:spacing w:after="0"/>
              <w:rPr>
                <w:sz w:val="1"/>
                <w:szCs w:val="1"/>
                <w:color w:val="auto"/>
              </w:rPr>
            </w:pPr>
          </w:p>
        </w:tc>
      </w:tr>
      <w:tr>
        <w:trPr>
          <w:trHeight w:val="155"/>
        </w:trPr>
        <w:tc>
          <w:tcPr>
            <w:tcW w:w="60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gridSpan w:val="2"/>
          </w:tcPr>
          <w:p>
            <w:pPr>
              <w:spacing w:after="0"/>
              <w:rPr>
                <w:sz w:val="13"/>
                <w:szCs w:val="13"/>
                <w:color w:val="auto"/>
              </w:rPr>
            </w:pPr>
          </w:p>
        </w:tc>
        <w:tc>
          <w:tcPr>
            <w:tcW w:w="860" w:type="dxa"/>
            <w:vAlign w:val="bottom"/>
            <w:tcBorders>
              <w:top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Borders>
              <w:top w:val="single" w:sz="8" w:color="auto"/>
            </w:tcBorders>
            <w:gridSpan w:val="2"/>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Financial income (expense), net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3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gridSpan w:val="3"/>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400" w:type="dxa"/>
            <w:vAlign w:val="bottom"/>
            <w:gridSpan w:val="2"/>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000" w:type="dxa"/>
            <w:vAlign w:val="bottom"/>
          </w:tcPr>
          <w:p>
            <w:pPr>
              <w:spacing w:after="0"/>
              <w:rPr>
                <w:sz w:val="24"/>
                <w:szCs w:val="24"/>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280" w:type="dxa"/>
            <w:vAlign w:val="bottom"/>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26, 2026</w:t>
            </w:r>
          </w:p>
        </w:tc>
        <w:tc>
          <w:tcPr>
            <w:tcW w:w="0" w:type="dxa"/>
            <w:vAlign w:val="bottom"/>
          </w:tcPr>
          <w:p>
            <w:pPr>
              <w:spacing w:after="0"/>
              <w:rPr>
                <w:sz w:val="1"/>
                <w:szCs w:val="1"/>
                <w:color w:val="auto"/>
              </w:rPr>
            </w:pPr>
          </w:p>
        </w:tc>
      </w:tr>
      <w:tr>
        <w:trPr>
          <w:trHeight w:val="155"/>
        </w:trPr>
        <w:tc>
          <w:tcPr>
            <w:tcW w:w="60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gridSpan w:val="2"/>
          </w:tcPr>
          <w:p>
            <w:pPr>
              <w:spacing w:after="0"/>
              <w:rPr>
                <w:sz w:val="13"/>
                <w:szCs w:val="13"/>
                <w:color w:val="auto"/>
              </w:rPr>
            </w:pPr>
          </w:p>
        </w:tc>
        <w:tc>
          <w:tcPr>
            <w:tcW w:w="860" w:type="dxa"/>
            <w:vAlign w:val="bottom"/>
            <w:tcBorders>
              <w:top w:val="single" w:sz="8" w:color="auto"/>
            </w:tcBorders>
          </w:tcPr>
          <w:p>
            <w:pPr>
              <w:jc w:val="right"/>
              <w:ind w:right="133"/>
              <w:spacing w:after="0" w:line="155"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1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Borders>
              <w:top w:val="single" w:sz="8" w:color="auto"/>
            </w:tcBorders>
            <w:gridSpan w:val="2"/>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251"/>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3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R&amp;D Law incentive grant related to ordinary income arising from sales of shares</w:t>
            </w: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received from the settlement of RSUs</w:t>
            </w:r>
          </w:p>
        </w:tc>
        <w:tc>
          <w:tcPr>
            <w:tcW w:w="3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12529"/>
              </w:rPr>
              <w:t>Financial income (expense), net</w:t>
            </w:r>
          </w:p>
        </w:tc>
        <w:tc>
          <w:tcPr>
            <w:tcW w:w="3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3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000" w:type="dxa"/>
            <w:vAlign w:val="bottom"/>
            <w:vMerge w:val="continue"/>
          </w:tcPr>
          <w:p>
            <w:pPr>
              <w:spacing w:after="0"/>
              <w:rPr>
                <w:sz w:val="18"/>
                <w:szCs w:val="18"/>
                <w:color w:val="auto"/>
              </w:rPr>
            </w:pPr>
          </w:p>
        </w:tc>
        <w:tc>
          <w:tcPr>
            <w:tcW w:w="460" w:type="dxa"/>
            <w:vAlign w:val="bottom"/>
            <w:gridSpan w:val="3"/>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ectPr>
          <w:pgSz w:w="11900" w:h="16838" w:orient="portrait"/>
          <w:cols w:equalWidth="0" w:num="1">
            <w:col w:w="10360"/>
          </w:cols>
          <w:pgMar w:left="440" w:top="106" w:right="1099" w:bottom="1440" w:gutter="0" w:footer="0" w:header="0"/>
        </w:sectPr>
      </w:pPr>
    </w:p>
    <w:p>
      <w:pPr>
        <w:ind w:left="5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360"/>
          </w:cols>
          <w:pgMar w:left="440" w:top="106" w:right="109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7"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92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3280" w:type="dxa"/>
            <w:vAlign w:val="bottom"/>
            <w:gridSpan w:val="9"/>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27, 2025</w:t>
            </w:r>
          </w:p>
        </w:tc>
      </w:tr>
      <w:tr>
        <w:trPr>
          <w:trHeight w:val="156"/>
        </w:trPr>
        <w:tc>
          <w:tcPr>
            <w:tcW w:w="454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760" w:type="dxa"/>
            <w:vAlign w:val="bottom"/>
          </w:tcPr>
          <w:p>
            <w:pPr>
              <w:ind w:left="16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Mobileye</w:t>
            </w: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tcBorders>
              <w:top w:val="single" w:sz="8" w:color="auto"/>
            </w:tcBorders>
            <w:gridSpan w:val="2"/>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25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3"/>
                <w:szCs w:val="13"/>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49"/>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tc>
        <w:tc>
          <w:tcPr>
            <w:tcW w:w="17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4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20" w:type="dxa"/>
            <w:vAlign w:val="bottom"/>
          </w:tcPr>
          <w:p>
            <w:pPr>
              <w:spacing w:after="0"/>
              <w:rPr>
                <w:sz w:val="21"/>
                <w:szCs w:val="21"/>
                <w:color w:val="auto"/>
              </w:rPr>
            </w:pPr>
          </w:p>
        </w:tc>
      </w:tr>
      <w:tr>
        <w:trPr>
          <w:trHeight w:val="197"/>
        </w:trPr>
        <w:tc>
          <w:tcPr>
            <w:tcW w:w="4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Amortization of intangible assets</w:t>
            </w: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(333)</w:t>
            </w:r>
          </w:p>
        </w:tc>
        <w:tc>
          <w:tcPr>
            <w:tcW w:w="20" w:type="dxa"/>
            <w:vAlign w:val="bottom"/>
          </w:tcPr>
          <w:p>
            <w:pPr>
              <w:spacing w:after="0"/>
              <w:rPr>
                <w:sz w:val="17"/>
                <w:szCs w:val="17"/>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12529"/>
              </w:rPr>
              <w:t>Financial income (expense), net</w:t>
            </w: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8"/>
                <w:szCs w:val="18"/>
                <w:color w:val="auto"/>
              </w:rPr>
            </w:pPr>
          </w:p>
        </w:tc>
      </w:tr>
      <w:tr>
        <w:trPr>
          <w:trHeight w:val="250"/>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(loss) before taxes on income</w:t>
            </w:r>
          </w:p>
        </w:tc>
        <w:tc>
          <w:tcPr>
            <w:tcW w:w="176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0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 w:type="dxa"/>
            <w:vAlign w:val="bottom"/>
          </w:tcPr>
          <w:p>
            <w:pPr>
              <w:spacing w:after="0"/>
              <w:rPr>
                <w:sz w:val="21"/>
                <w:szCs w:val="21"/>
                <w:color w:val="auto"/>
              </w:rPr>
            </w:pPr>
          </w:p>
        </w:tc>
      </w:tr>
      <w:tr>
        <w:trPr>
          <w:trHeight w:val="196"/>
        </w:trPr>
        <w:tc>
          <w:tcPr>
            <w:tcW w:w="4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Depreciation of property and equipment</w:t>
            </w:r>
          </w:p>
        </w:tc>
        <w:tc>
          <w:tcPr>
            <w:tcW w:w="19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17"/>
                <w:szCs w:val="17"/>
                <w:color w:val="auto"/>
              </w:rPr>
            </w:pPr>
          </w:p>
        </w:tc>
      </w:tr>
    </w:tbl>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Total revenues based on the country that the product was shipped to were as follows: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760" w:type="dxa"/>
            <w:vAlign w:val="bottom"/>
            <w:gridSpan w:val="5"/>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58"/>
        </w:trPr>
        <w:tc>
          <w:tcPr>
            <w:tcW w:w="3460" w:type="dxa"/>
            <w:vAlign w:val="bottom"/>
          </w:tcPr>
          <w:p>
            <w:pPr>
              <w:spacing w:after="0"/>
              <w:rPr>
                <w:sz w:val="13"/>
                <w:szCs w:val="13"/>
                <w:color w:val="auto"/>
              </w:rPr>
            </w:pPr>
          </w:p>
        </w:tc>
        <w:tc>
          <w:tcPr>
            <w:tcW w:w="2160" w:type="dxa"/>
            <w:vAlign w:val="bottom"/>
          </w:tcPr>
          <w:p>
            <w:pPr>
              <w:ind w:left="208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08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60" w:type="dxa"/>
            <w:vAlign w:val="bottom"/>
          </w:tcPr>
          <w:p>
            <w:pPr>
              <w:spacing w:after="0"/>
              <w:rPr>
                <w:sz w:val="13"/>
                <w:szCs w:val="13"/>
                <w:color w:val="auto"/>
              </w:rPr>
            </w:pPr>
          </w:p>
        </w:tc>
        <w:tc>
          <w:tcPr>
            <w:tcW w:w="900" w:type="dxa"/>
            <w:vAlign w:val="bottom"/>
            <w:tcBorders>
              <w:top w:val="single" w:sz="8" w:color="auto"/>
            </w:tcBorders>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r>
      <w:tr>
        <w:trPr>
          <w:trHeight w:val="173"/>
        </w:trPr>
        <w:tc>
          <w:tcPr>
            <w:tcW w:w="3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2360" w:type="dxa"/>
            <w:vAlign w:val="bottom"/>
            <w:gridSpan w:val="2"/>
          </w:tcPr>
          <w:p>
            <w:pPr>
              <w:ind w:left="20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USA</w:t>
            </w:r>
          </w:p>
        </w:tc>
        <w:tc>
          <w:tcPr>
            <w:tcW w:w="2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Germany</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South Korea</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Slovakia</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Poland</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Kingdom</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Hungary</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Czech Republic</w:t>
            </w:r>
          </w:p>
        </w:tc>
        <w:tc>
          <w:tcPr>
            <w:tcW w:w="2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 of World</w:t>
            </w:r>
          </w:p>
        </w:tc>
        <w:tc>
          <w:tcPr>
            <w:tcW w:w="2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1,558</w:t>
            </w:r>
          </w:p>
        </w:tc>
        <w:tc>
          <w:tcPr>
            <w:tcW w:w="180" w:type="dxa"/>
            <w:vAlign w:val="bottom"/>
            <w:gridSpan w:val="2"/>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1,448</w:t>
            </w:r>
          </w:p>
        </w:tc>
      </w:tr>
      <w:tr>
        <w:trPr>
          <w:trHeight w:val="20"/>
        </w:trPr>
        <w:tc>
          <w:tcPr>
            <w:tcW w:w="3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jc w:val="both"/>
        <w:ind w:left="640" w:firstLine="324"/>
        <w:spacing w:after="0" w:line="211"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primarily through sales to Tier 1 automotive suppliers.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90% and 89% of our revenue for each of the three months ended September 26, 2026 and September 27, 2025, respectively, and 90% and 91% of our revenue for each of the nine months ended September 26, 2026 and September 27, 2025, respectively.</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Major Customers</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Revenue from major customers that amount to 10% or more of total revenue:</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5540" w:type="dxa"/>
            <w:vAlign w:val="bottom"/>
            <w:gridSpan w:val="2"/>
          </w:tcPr>
          <w:p>
            <w:pPr>
              <w:ind w:left="5300"/>
              <w:spacing w:after="0"/>
              <w:rPr>
                <w:sz w:val="20"/>
                <w:szCs w:val="20"/>
                <w:color w:val="auto"/>
              </w:rPr>
            </w:pPr>
            <w:r>
              <w:rPr>
                <w:rFonts w:ascii="Times New Roman" w:cs="Times New Roman" w:eastAsia="Times New Roman" w:hAnsi="Times New Roman"/>
                <w:sz w:val="14"/>
                <w:szCs w:val="14"/>
                <w:b w:val="1"/>
                <w:bCs w:val="1"/>
                <w:color w:val="auto"/>
              </w:rPr>
              <w:t>​​​</w:t>
            </w:r>
          </w:p>
        </w:tc>
        <w:tc>
          <w:tcPr>
            <w:tcW w:w="156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2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58"/>
        </w:trPr>
        <w:tc>
          <w:tcPr>
            <w:tcW w:w="5380" w:type="dxa"/>
            <w:vAlign w:val="bottom"/>
          </w:tcPr>
          <w:p>
            <w:pPr>
              <w:ind w:left="530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100" w:type="dxa"/>
            <w:vAlign w:val="bottom"/>
            <w:tcBorders>
              <w:top w:val="single" w:sz="8" w:color="auto"/>
            </w:tcBorders>
            <w:gridSpan w:val="4"/>
          </w:tcPr>
          <w:p>
            <w:pPr>
              <w:jc w:val="center"/>
              <w:ind w:right="1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880" w:type="dxa"/>
            <w:vAlign w:val="bottom"/>
            <w:tcBorders>
              <w:top w:val="single" w:sz="8" w:color="auto"/>
            </w:tcBorders>
            <w:gridSpan w:val="2"/>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240" w:type="dxa"/>
            <w:vAlign w:val="bottom"/>
          </w:tcPr>
          <w:p>
            <w:pPr>
              <w:spacing w:after="0"/>
              <w:rPr>
                <w:sz w:val="13"/>
                <w:szCs w:val="13"/>
                <w:color w:val="auto"/>
              </w:rPr>
            </w:pPr>
          </w:p>
        </w:tc>
        <w:tc>
          <w:tcPr>
            <w:tcW w:w="1100" w:type="dxa"/>
            <w:vAlign w:val="bottom"/>
            <w:tcBorders>
              <w:top w:val="single" w:sz="8" w:color="auto"/>
            </w:tcBorders>
            <w:gridSpan w:val="3"/>
          </w:tcPr>
          <w:p>
            <w:pPr>
              <w:jc w:val="center"/>
              <w:ind w:right="148"/>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w:t>
            </w:r>
          </w:p>
        </w:tc>
        <w:tc>
          <w:tcPr>
            <w:tcW w:w="8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September 27,</w:t>
            </w:r>
          </w:p>
        </w:tc>
        <w:tc>
          <w:tcPr>
            <w:tcW w:w="140" w:type="dxa"/>
            <w:vAlign w:val="bottom"/>
          </w:tcPr>
          <w:p>
            <w:pPr>
              <w:spacing w:after="0"/>
              <w:rPr>
                <w:sz w:val="13"/>
                <w:szCs w:val="13"/>
                <w:color w:val="auto"/>
              </w:rPr>
            </w:pPr>
          </w:p>
        </w:tc>
      </w:tr>
      <w:tr>
        <w:trPr>
          <w:trHeight w:val="173"/>
        </w:trPr>
        <w:tc>
          <w:tcPr>
            <w:tcW w:w="5540" w:type="dxa"/>
            <w:vAlign w:val="bottom"/>
            <w:gridSpan w:val="2"/>
          </w:tcPr>
          <w:p>
            <w:pPr>
              <w:ind w:left="5300"/>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revenues:</w:t>
            </w: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460" w:type="dxa"/>
            <w:vAlign w:val="bottom"/>
          </w:tcPr>
          <w:p>
            <w:pPr>
              <w:spacing w:after="0"/>
              <w:rPr>
                <w:sz w:val="18"/>
                <w:szCs w:val="18"/>
                <w:color w:val="auto"/>
              </w:rPr>
            </w:pP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30 %</w:t>
            </w:r>
          </w:p>
        </w:tc>
        <w:tc>
          <w:tcPr>
            <w:tcW w:w="62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27 %</w:t>
            </w:r>
          </w:p>
        </w:tc>
        <w:tc>
          <w:tcPr>
            <w:tcW w:w="60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28 %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15 %</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13 %</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16 %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460" w:type="dxa"/>
            <w:vAlign w:val="bottom"/>
          </w:tcPr>
          <w:p>
            <w:pPr>
              <w:spacing w:after="0"/>
              <w:rPr>
                <w:sz w:val="18"/>
                <w:szCs w:val="18"/>
                <w:color w:val="auto"/>
              </w:rPr>
            </w:pP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11 %</w:t>
            </w:r>
          </w:p>
        </w:tc>
        <w:tc>
          <w:tcPr>
            <w:tcW w:w="62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15 %</w:t>
            </w:r>
          </w:p>
        </w:tc>
        <w:tc>
          <w:tcPr>
            <w:tcW w:w="600" w:type="dxa"/>
            <w:vAlign w:val="bottom"/>
          </w:tcPr>
          <w:p>
            <w:pPr>
              <w:spacing w:after="0"/>
              <w:rPr>
                <w:sz w:val="18"/>
                <w:szCs w:val="18"/>
                <w:color w:val="auto"/>
              </w:rPr>
            </w:pPr>
          </w:p>
        </w:tc>
        <w:tc>
          <w:tcPr>
            <w:tcW w:w="5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15 %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16"/>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4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14 %</w:t>
            </w:r>
          </w:p>
        </w:tc>
        <w:tc>
          <w:tcPr>
            <w:tcW w:w="6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17 %</w:t>
            </w:r>
          </w:p>
        </w:tc>
        <w:tc>
          <w:tcPr>
            <w:tcW w:w="6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14 %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4"/>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E</w:t>
            </w:r>
          </w:p>
        </w:tc>
        <w:tc>
          <w:tcPr>
            <w:tcW w:w="460" w:type="dxa"/>
            <w:vAlign w:val="bottom"/>
          </w:tcPr>
          <w:p>
            <w:pPr>
              <w:spacing w:after="0"/>
              <w:rPr>
                <w:sz w:val="20"/>
                <w:szCs w:val="20"/>
                <w:color w:val="auto"/>
              </w:rPr>
            </w:pPr>
          </w:p>
        </w:tc>
        <w:tc>
          <w:tcPr>
            <w:tcW w:w="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12 %</w:t>
            </w:r>
          </w:p>
        </w:tc>
        <w:tc>
          <w:tcPr>
            <w:tcW w:w="6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r>
    </w:tbl>
    <w:p>
      <w:pPr>
        <w:spacing w:after="0" w:line="179" w:lineRule="exact"/>
        <w:rPr>
          <w:sz w:val="20"/>
          <w:szCs w:val="20"/>
          <w:color w:val="auto"/>
        </w:rPr>
      </w:pPr>
    </w:p>
    <w:p>
      <w:pPr>
        <w:ind w:left="960"/>
        <w:spacing w:after="0"/>
        <w:tabs>
          <w:tab w:leader="none" w:pos="1280" w:val="left"/>
        </w:tabs>
        <w:rPr>
          <w:sz w:val="20"/>
          <w:szCs w:val="20"/>
          <w:color w:val="auto"/>
        </w:rPr>
      </w:pPr>
      <w:r>
        <w:rPr>
          <w:rFonts w:ascii="Times New Roman" w:cs="Times New Roman" w:eastAsia="Times New Roman" w:hAnsi="Times New Roman"/>
          <w:sz w:val="18"/>
          <w:szCs w:val="18"/>
          <w:color w:val="auto"/>
        </w:rPr>
        <w:t>*</w:t>
        <w:tab/>
        <w:t>Less than 10%</w:t>
      </w:r>
    </w:p>
    <w:p>
      <w:pPr>
        <w:sectPr>
          <w:pgSz w:w="11900" w:h="16838" w:orient="portrait"/>
          <w:cols w:equalWidth="0" w:num="1">
            <w:col w:w="10360"/>
          </w:cols>
          <w:pgMar w:left="440" w:top="106" w:right="1099" w:bottom="1440" w:gutter="0" w:footer="0" w:header="0"/>
        </w:sectPr>
      </w:pPr>
    </w:p>
    <w:p>
      <w:pPr>
        <w:spacing w:after="0" w:line="2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360"/>
          </w:cols>
          <w:pgMar w:left="440" w:top="106" w:right="109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Accounts receivable balances of major customers that amount to 10% or more of total accounts receivable balance:</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4840" w:type="dxa"/>
            <w:vAlign w:val="bottom"/>
          </w:tcPr>
          <w:p>
            <w:pPr>
              <w:ind w:left="4700"/>
              <w:spacing w:after="0"/>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158"/>
        </w:trPr>
        <w:tc>
          <w:tcPr>
            <w:tcW w:w="2440" w:type="dxa"/>
            <w:vAlign w:val="bottom"/>
          </w:tcPr>
          <w:p>
            <w:pPr>
              <w:spacing w:after="0"/>
              <w:rPr>
                <w:sz w:val="13"/>
                <w:szCs w:val="13"/>
                <w:color w:val="auto"/>
              </w:rPr>
            </w:pPr>
          </w:p>
        </w:tc>
        <w:tc>
          <w:tcPr>
            <w:tcW w:w="4840" w:type="dxa"/>
            <w:vAlign w:val="bottom"/>
          </w:tcPr>
          <w:p>
            <w:pPr>
              <w:ind w:left="4700"/>
              <w:spacing w:after="0" w:line="158" w:lineRule="exact"/>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September 26,  ​​​</w:t>
            </w:r>
          </w:p>
        </w:tc>
        <w:tc>
          <w:tcPr>
            <w:tcW w:w="960" w:type="dxa"/>
            <w:vAlign w:val="bottom"/>
          </w:tcPr>
          <w:p>
            <w:pPr>
              <w:jc w:val="right"/>
              <w:ind w:right="16"/>
              <w:spacing w:after="0" w:line="158" w:lineRule="exact"/>
              <w:rPr>
                <w:sz w:val="20"/>
                <w:szCs w:val="20"/>
                <w:color w:val="auto"/>
              </w:rPr>
            </w:pPr>
            <w:r>
              <w:rPr>
                <w:rFonts w:ascii="Times New Roman" w:cs="Times New Roman" w:eastAsia="Times New Roman" w:hAnsi="Times New Roman"/>
                <w:sz w:val="14"/>
                <w:szCs w:val="14"/>
                <w:b w:val="1"/>
                <w:bCs w:val="1"/>
                <w:color w:val="auto"/>
              </w:rPr>
              <w:t>December 27,</w:t>
            </w:r>
          </w:p>
        </w:tc>
        <w:tc>
          <w:tcPr>
            <w:tcW w:w="140" w:type="dxa"/>
            <w:vAlign w:val="bottom"/>
          </w:tcPr>
          <w:p>
            <w:pPr>
              <w:spacing w:after="0"/>
              <w:rPr>
                <w:sz w:val="13"/>
                <w:szCs w:val="13"/>
                <w:color w:val="auto"/>
              </w:rPr>
            </w:pPr>
          </w:p>
        </w:tc>
      </w:tr>
      <w:tr>
        <w:trPr>
          <w:trHeight w:val="173"/>
        </w:trPr>
        <w:tc>
          <w:tcPr>
            <w:tcW w:w="2440" w:type="dxa"/>
            <w:vAlign w:val="bottom"/>
            <w:tcBorders>
              <w:bottom w:val="single" w:sz="8" w:color="CCEEFF"/>
            </w:tcBorders>
          </w:tcPr>
          <w:p>
            <w:pPr>
              <w:spacing w:after="0"/>
              <w:rPr>
                <w:sz w:val="15"/>
                <w:szCs w:val="15"/>
                <w:color w:val="auto"/>
              </w:rPr>
            </w:pPr>
          </w:p>
        </w:tc>
        <w:tc>
          <w:tcPr>
            <w:tcW w:w="48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5"/>
                <w:szCs w:val="15"/>
                <w:color w:val="auto"/>
              </w:rPr>
            </w:pPr>
          </w:p>
        </w:tc>
      </w:tr>
      <w:tr>
        <w:trPr>
          <w:trHeight w:val="210"/>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Percent of total accounts receivables balance:</w:t>
            </w: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A</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D</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7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B</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115"/>
        </w:trPr>
        <w:tc>
          <w:tcPr>
            <w:tcW w:w="2440" w:type="dxa"/>
            <w:vAlign w:val="bottom"/>
            <w:tcBorders>
              <w:bottom w:val="single" w:sz="8" w:color="auto"/>
            </w:tcBorders>
          </w:tcPr>
          <w:p>
            <w:pPr>
              <w:spacing w:after="0"/>
              <w:rPr>
                <w:sz w:val="10"/>
                <w:szCs w:val="10"/>
                <w:color w:val="auto"/>
              </w:rPr>
            </w:pPr>
          </w:p>
        </w:tc>
        <w:tc>
          <w:tcPr>
            <w:tcW w:w="48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r>
    </w:tbl>
    <w:p>
      <w:pPr>
        <w:spacing w:after="0" w:line="63" w:lineRule="exact"/>
        <w:rPr>
          <w:sz w:val="20"/>
          <w:szCs w:val="20"/>
          <w:color w:val="auto"/>
        </w:rPr>
      </w:pPr>
    </w:p>
    <w:p>
      <w:pPr>
        <w:ind w:left="960"/>
        <w:spacing w:after="0"/>
        <w:tabs>
          <w:tab w:leader="none" w:pos="1280" w:val="left"/>
        </w:tabs>
        <w:rPr>
          <w:sz w:val="20"/>
          <w:szCs w:val="20"/>
          <w:color w:val="auto"/>
        </w:rPr>
      </w:pPr>
      <w:r>
        <w:rPr>
          <w:rFonts w:ascii="Times New Roman" w:cs="Times New Roman" w:eastAsia="Times New Roman" w:hAnsi="Times New Roman"/>
          <w:sz w:val="18"/>
          <w:szCs w:val="18"/>
          <w:color w:val="auto"/>
        </w:rPr>
        <w:t>*</w:t>
        <w:tab/>
        <w:t>Less than 10%</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10 - MARKETABLE SECURITIES AND DEPOSITS</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Marketable securities include U.S. government and corporate bonds for original maturities of up to 12 months and are classified as available for sale and measured at fair value with the related unrealized gains and losses included in other comprehensive income (loss), net. Short term deposits are short term unrestricted highly liquid investments with original maturities of more than three months at acquisition.</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following tables summarize the Company’s marketable debt securities and short term deposits: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U.S. dollars in millions</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U.S. government bonds</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U.S. corporate bonds</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Short term deposits</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U.S. dollars in millions</w:t>
      </w:r>
    </w:p>
    <w:p>
      <w:pPr>
        <w:spacing w:after="0" w:line="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U.S. government bonds</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26, 2026</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55"/>
        </w:trPr>
        <w:tc>
          <w:tcPr>
            <w:tcW w:w="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420" w:type="dxa"/>
            <w:vAlign w:val="bottom"/>
            <w:tcBorders>
              <w:top w:val="single" w:sz="8" w:color="auto"/>
            </w:tcBorders>
            <w:gridSpan w:val="9"/>
          </w:tcPr>
          <w:p>
            <w:pPr>
              <w:jc w:val="right"/>
              <w:ind w:right="24"/>
              <w:spacing w:after="0" w:line="155" w:lineRule="exact"/>
              <w:rPr>
                <w:sz w:val="20"/>
                <w:szCs w:val="20"/>
                <w:color w:val="auto"/>
              </w:rPr>
            </w:pPr>
            <w:r>
              <w:rPr>
                <w:rFonts w:ascii="Times New Roman" w:cs="Times New Roman" w:eastAsia="Times New Roman" w:hAnsi="Times New Roman"/>
                <w:sz w:val="14"/>
                <w:szCs w:val="14"/>
                <w:b w:val="1"/>
                <w:bCs w:val="1"/>
                <w:color w:val="auto"/>
              </w:rPr>
              <w:t>​​​Unrealized gain ​​​Unrealized loss ​​​</w:t>
            </w:r>
          </w:p>
        </w:tc>
        <w:tc>
          <w:tcPr>
            <w:tcW w:w="740" w:type="dxa"/>
            <w:vAlign w:val="bottom"/>
            <w:tcBorders>
              <w:top w:val="single" w:sz="8" w:color="auto"/>
            </w:tcBorders>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80" w:type="dxa"/>
            <w:vAlign w:val="bottom"/>
          </w:tcPr>
          <w:p>
            <w:pPr>
              <w:spacing w:after="0"/>
              <w:rPr>
                <w:sz w:val="16"/>
                <w:szCs w:val="16"/>
                <w:color w:val="auto"/>
              </w:rPr>
            </w:pPr>
          </w:p>
        </w:tc>
        <w:tc>
          <w:tcPr>
            <w:tcW w:w="36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ind w:left="50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580" w:type="dxa"/>
            <w:vAlign w:val="bottom"/>
            <w:tcBorders>
              <w:top w:val="single" w:sz="8" w:color="auto"/>
            </w:tcBorders>
          </w:tcPr>
          <w:p>
            <w:pPr>
              <w:jc w:val="right"/>
              <w:ind w:right="39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00" w:type="dxa"/>
            <w:vAlign w:val="bottom"/>
            <w:tcBorders>
              <w:top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103</w:t>
            </w:r>
          </w:p>
        </w:tc>
      </w:tr>
      <w:tr>
        <w:trPr>
          <w:trHeight w:val="216"/>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0"/>
                <w:szCs w:val="20"/>
                <w:color w:val="auto"/>
              </w:rPr>
            </w:pP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2"/>
        </w:trPr>
        <w:tc>
          <w:tcPr>
            <w:tcW w:w="80" w:type="dxa"/>
            <w:vAlign w:val="bottom"/>
          </w:tcPr>
          <w:p>
            <w:pPr>
              <w:spacing w:after="0"/>
              <w:rPr>
                <w:sz w:val="20"/>
                <w:szCs w:val="20"/>
                <w:color w:val="auto"/>
              </w:rPr>
            </w:pPr>
          </w:p>
        </w:tc>
        <w:tc>
          <w:tcPr>
            <w:tcW w:w="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c>
          <w:tcPr>
            <w:tcW w:w="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58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w:t>
            </w:r>
          </w:p>
        </w:tc>
      </w:tr>
      <w:tr>
        <w:trPr>
          <w:trHeight w:val="383"/>
        </w:trPr>
        <w:tc>
          <w:tcPr>
            <w:tcW w:w="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56"/>
        </w:trPr>
        <w:tc>
          <w:tcPr>
            <w:tcW w:w="1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420" w:type="dxa"/>
            <w:vAlign w:val="bottom"/>
            <w:tcBorders>
              <w:top w:val="single" w:sz="8" w:color="auto"/>
            </w:tcBorders>
            <w:gridSpan w:val="9"/>
          </w:tcPr>
          <w:p>
            <w:pPr>
              <w:jc w:val="right"/>
              <w:ind w:right="24"/>
              <w:spacing w:after="0" w:line="155" w:lineRule="exact"/>
              <w:rPr>
                <w:sz w:val="20"/>
                <w:szCs w:val="20"/>
                <w:color w:val="auto"/>
              </w:rPr>
            </w:pPr>
            <w:r>
              <w:rPr>
                <w:rFonts w:ascii="Times New Roman" w:cs="Times New Roman" w:eastAsia="Times New Roman" w:hAnsi="Times New Roman"/>
                <w:sz w:val="14"/>
                <w:szCs w:val="14"/>
                <w:b w:val="1"/>
                <w:bCs w:val="1"/>
                <w:color w:val="auto"/>
              </w:rPr>
              <w:t>​​​Unrealized gain ​​​Unrealized loss ​​​</w:t>
            </w:r>
          </w:p>
        </w:tc>
        <w:tc>
          <w:tcPr>
            <w:tcW w:w="740" w:type="dxa"/>
            <w:vAlign w:val="bottom"/>
            <w:tcBorders>
              <w:top w:val="single" w:sz="8" w:color="auto"/>
            </w:tcBorders>
          </w:tcPr>
          <w:p>
            <w:pPr>
              <w:jc w:val="right"/>
              <w:ind w:right="15"/>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2"/>
        </w:trPr>
        <w:tc>
          <w:tcPr>
            <w:tcW w:w="80" w:type="dxa"/>
            <w:vAlign w:val="bottom"/>
          </w:tcPr>
          <w:p>
            <w:pPr>
              <w:spacing w:after="0"/>
              <w:rPr>
                <w:sz w:val="20"/>
                <w:szCs w:val="20"/>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r>
    </w:tbl>
    <w:p>
      <w:pPr>
        <w:spacing w:after="0" w:line="200" w:lineRule="exact"/>
        <w:rPr>
          <w:sz w:val="20"/>
          <w:szCs w:val="20"/>
          <w:color w:val="auto"/>
        </w:rPr>
      </w:pPr>
    </w:p>
    <w:p>
      <w:pPr>
        <w:sectPr>
          <w:pgSz w:w="11900" w:h="16838" w:orient="portrait"/>
          <w:cols w:equalWidth="0" w:num="2">
            <w:col w:w="5440" w:space="720"/>
            <w:col w:w="4200"/>
          </w:cols>
          <w:pgMar w:left="440" w:top="106" w:right="10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360"/>
          </w:cols>
          <w:pgMar w:left="440" w:top="106" w:right="1099"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11 - CONTINGENCIES</w:t>
      </w:r>
    </w:p>
    <w:p>
      <w:pPr>
        <w:spacing w:after="0" w:line="2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U.S. Class Action</w:t>
      </w:r>
    </w:p>
    <w:p>
      <w:pPr>
        <w:spacing w:after="0" w:line="227" w:lineRule="exact"/>
        <w:rPr>
          <w:sz w:val="20"/>
          <w:szCs w:val="20"/>
          <w:color w:val="auto"/>
        </w:rPr>
      </w:pPr>
    </w:p>
    <w:p>
      <w:pPr>
        <w:jc w:val="both"/>
        <w:ind w:left="640" w:firstLine="324"/>
        <w:spacing w:after="0" w:line="252" w:lineRule="auto"/>
        <w:rPr>
          <w:sz w:val="20"/>
          <w:szCs w:val="20"/>
          <w:color w:val="auto"/>
        </w:rPr>
      </w:pPr>
      <w:r>
        <w:rPr>
          <w:rFonts w:ascii="Times New Roman" w:cs="Times New Roman" w:eastAsia="Times New Roman" w:hAnsi="Times New Roman"/>
          <w:sz w:val="18"/>
          <w:szCs w:val="18"/>
          <w:color w:val="auto"/>
        </w:rPr>
        <w:t>On January 16, 2024, a putative class action captioned McAuliffe v. Mobileye Global Inc., et al., 1:24-CV-00310 (S.D.N.Y.), was filed in the United States District Court for the Southern District of New York against Mobileye and certain of its current and former officers. Following consolidation of the action with a substantively identical case, Le v. Mobileye Global Inc., et al., 1:24-CV-01390 (S.D.N.Y.), and the appointment of a lead plaintiff, an amended complaint was filed on September 13, 2024. In response to the defendants’ motion to dismiss, filed on October 25, 2024, lead plaintiff filed a second amended complaint on November 22, 2024. The second amended complaint asserts violations of Sections 10(b) and 20(a) of the Securities Exchange Act of 1934 in connection with defendants’ alleged misstatements and omissions concerning the build-up of excess inventory by certain Tier 1 Mobileye customers, and seeks unspecified damages and other relief on behalf of all persons and entities who purchased or otherwise acquired Mobileye securities between January 26, 2023 and August 8, 2024. The second amended complaint also includes claims asserted by an additional plaintiff under Sections 11 and 15 of the Securities Act of 1933 on behalf of a putative class of purchasers of Mobileye Class A common stock offered in Mobileye’s June 5, 2023 secondary offering. Mobileye and the individual defendants filed a motion to dismiss the second amended complaint on December 20, 2024. On January 24, 2025, the lead plaintiff filed a brief in opposition to Mobileye’s and the other named defendants’ motion to dismiss. On February 21, 2025, Mobileye and the other named defendants jointly filed a brief in reply to the lead plaintiff’s opposition brief. On April 16, 2025 the Court granted the defendants’ motion and dismissed the second amended complaint in full without leave to amend, closing the case. On May 16, 2025, the lead plaintiff filed a notice of appeal with the U.S. Court of Appeals for the Second Circuit. On July 11, 2025, the lead plaintiff filed a brief in support of their appeal. On August 15, 2025, Mobileye and the named defendants filed their opposition brief, and on September 5, 2025, the appellants filed their reply brief in further support of the appeal. Oral argument was held on December 4, 2025. On December 16, 2025, the Second Circuit issued a summary order affirming the Court’s dismissal of the second amended complaint in full. The time for the plaintiff to seek further review by filing a petition for a writ of certiorari with the U.S. Supreme Court has expired, and no such petition was filed. No provision was recorded in the condensed consolidated financial statements as of September 26, 2026.</w:t>
      </w:r>
    </w:p>
    <w:p>
      <w:pPr>
        <w:spacing w:after="0" w:line="18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160" w:lineRule="exact"/>
        <w:rPr>
          <w:sz w:val="20"/>
          <w:szCs w:val="20"/>
          <w:color w:val="auto"/>
        </w:rPr>
      </w:pPr>
    </w:p>
    <w:p>
      <w:pPr>
        <w:jc w:val="both"/>
        <w:ind w:left="640" w:firstLine="324"/>
        <w:spacing w:after="0" w:line="253" w:lineRule="auto"/>
        <w:rPr>
          <w:sz w:val="20"/>
          <w:szCs w:val="20"/>
          <w:color w:val="auto"/>
        </w:rPr>
      </w:pPr>
      <w:r>
        <w:rPr>
          <w:rFonts w:ascii="Times New Roman" w:cs="Times New Roman" w:eastAsia="Times New Roman" w:hAnsi="Times New Roman"/>
          <w:sz w:val="18"/>
          <w:szCs w:val="18"/>
          <w:color w:val="auto"/>
        </w:rPr>
        <w:t>On January 26, 2024, Facet Technology Corp. (“Facet”) sued Mobileye in the U.S. District Court for the Eastern District of Texas for patent infringement. The suit accuses Mobileye Global Inc., Mobileye Vision Technologies Ltd. and Mobileye Inc. of allegedly infringing two expired patents. Despite expiration of the patents, the suit seeks injunctive relief and a permanent injunction as well as unspecified damages, fees and costs. Mobileye Vision Technologies Ltd. and Mobileye Inc., sued Facet in the U.S. District Court of Minnesota seeking a declaratory judgment of non-infringement of both patents. Before either action was answered, the Patent Trial and Appeal Board (“PTAB”) of the US Patent and Trademark Office instituted two Inter Parte Review (IPR) proceedings on both patents, and both district court actions were stayed. Final Determinations were reached by the PTAB in both IPRs. In one, the PTAB found invalid all claims that Facet asserted in the Texas suit. The PTAB upheld the patentability of other claims not asserted in the Texas suit. Facet’s request for Director review was denied and the deadline to appeal has passed without Facet doing so, rending final the PTAB’s decision and invalidating all asserted claims of that patent. In the other IPR, the PTAB upheld the patentability of a single claim. Mobileye is pursuing an appeal of that decision. In May 2026, Facet moved to lift the stay in the Texas suit. Mobileye opposed, and the court has yet to rule. Therefore, the Texas and Minnesota district court actions both remain stayed. We intend to defend these matters vigorously. No provision was recorded in the condensed consolidated financial statements as of September 26, 2026.</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12 - GOODWILL</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following table presents the carrying amount of goodwill by segment as of September 26, 2026 and December 27, 2025.</w:t>
      </w:r>
    </w:p>
    <w:p>
      <w:pPr>
        <w:spacing w:after="0" w:line="192"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320" w:type="dxa"/>
            <w:vAlign w:val="bottom"/>
            <w:gridSpan w:val="2"/>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Mobileye</w:t>
            </w:r>
          </w:p>
        </w:tc>
        <w:tc>
          <w:tcPr>
            <w:tcW w:w="32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80" w:type="dxa"/>
            <w:vAlign w:val="bottom"/>
            <w:gridSpan w:val="3"/>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2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2025</w:t>
            </w:r>
          </w:p>
        </w:tc>
        <w:tc>
          <w:tcPr>
            <w:tcW w:w="4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r>
      <w:tr>
        <w:trPr>
          <w:trHeight w:val="216"/>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(1)</w:t>
            </w:r>
          </w:p>
        </w:tc>
        <w:tc>
          <w:tcPr>
            <w:tcW w:w="4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w:t>
            </w:r>
          </w:p>
        </w:tc>
        <w:tc>
          <w:tcPr>
            <w:tcW w:w="4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w:t>
            </w:r>
          </w:p>
        </w:tc>
      </w:tr>
      <w:tr>
        <w:trPr>
          <w:trHeight w:val="210"/>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September 26, 2026</w:t>
            </w:r>
          </w:p>
        </w:tc>
        <w:tc>
          <w:tcPr>
            <w:tcW w:w="41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4,799</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gridSpan w:val="2"/>
          </w:tcPr>
          <w:p>
            <w:pPr>
              <w:spacing w:after="0"/>
              <w:rPr>
                <w:sz w:val="18"/>
                <w:szCs w:val="18"/>
                <w:color w:val="auto"/>
              </w:rPr>
            </w:pPr>
          </w:p>
        </w:tc>
        <w:tc>
          <w:tcPr>
            <w:tcW w:w="180" w:type="dxa"/>
            <w:vAlign w:val="bottom"/>
            <w:tcBorders>
              <w:top w:val="single" w:sz="8" w:color="auto"/>
            </w:tcBorders>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w:t>
            </w:r>
          </w:p>
        </w:tc>
      </w:tr>
      <w:tr>
        <w:trPr>
          <w:trHeight w:val="20"/>
        </w:trPr>
        <w:tc>
          <w:tcPr>
            <w:tcW w:w="24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440" w:type="dxa"/>
            <w:vAlign w:val="bottom"/>
            <w:tcBorders>
              <w:bottom w:val="single" w:sz="8" w:color="auto"/>
            </w:tcBorders>
          </w:tcPr>
          <w:p>
            <w:pPr>
              <w:spacing w:after="0"/>
              <w:rPr>
                <w:sz w:val="7"/>
                <w:szCs w:val="7"/>
                <w:color w:val="auto"/>
              </w:rPr>
            </w:pPr>
          </w:p>
        </w:tc>
        <w:tc>
          <w:tcPr>
            <w:tcW w:w="4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 Goodwill arising from the acquisition of Mentee Robotics has been allocated to the Mobileye reporting segment.</w:t>
      </w:r>
    </w:p>
    <w:p>
      <w:pPr>
        <w:sectPr>
          <w:pgSz w:w="11900" w:h="16838" w:orient="portrait"/>
          <w:cols w:equalWidth="0" w:num="1">
            <w:col w:w="10360"/>
          </w:cols>
          <w:pgMar w:left="440" w:top="106" w:right="1099" w:bottom="1440" w:gutter="0" w:footer="0" w:header="0"/>
        </w:sectPr>
      </w:pPr>
    </w:p>
    <w:p>
      <w:pPr>
        <w:spacing w:after="0" w:line="26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360"/>
          </w:cols>
          <w:pgMar w:left="440" w:top="106" w:right="109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left="640" w:firstLine="324"/>
        <w:spacing w:after="0" w:line="218" w:lineRule="exact"/>
        <w:rPr>
          <w:sz w:val="20"/>
          <w:szCs w:val="20"/>
          <w:color w:val="auto"/>
        </w:rPr>
      </w:pPr>
      <w:r>
        <w:rPr>
          <w:rFonts w:ascii="Times New Roman" w:cs="Times New Roman" w:eastAsia="Times New Roman" w:hAnsi="Times New Roman"/>
          <w:sz w:val="18"/>
          <w:szCs w:val="18"/>
          <w:color w:val="auto"/>
        </w:rPr>
        <w:t>During the first quarter of 2026, the Company performed an interim quantitative goodwill impairment analysis for the “Mobileye” reporting unit, due to a 35% decline in the price of the Company’s Class A common stock, and a corresponding decline in market capitalization since the most recent assessment date, as well as increased uncertainty in the macroeconomic and geopolitical environment. The quantitative assessment was performed by measuring the reporting unit’s fair value using the income approach, based on the expected present value of estimated future cash flows. The fair value measurement is categorized as Level 3 within the fair value hierarchy due to the use of unobservable inputs such as financial projections, terminal growth rate, and discount rate. When using the income approach, we tested the reasonableness of the inputs and outcomes of our discounted cash flow analysis against available market data. As part of this analysis, we determined that a significant increase in the discount rate was required relative to the discount rate used in our most recent assessment. This increase resulted from higher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Mobileye-specific risk premiums associated with changes in global macroeconomic conditions in 2026, including heightened geopolitical risks related to operations in the Middle East, particularly the conflict between Israel and Iran, as well as increased uncertainty related to the evolving competitive landscape.</w:t>
      </w:r>
    </w:p>
    <w:p>
      <w:pPr>
        <w:spacing w:after="0" w:line="133"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The results of the impairment analysis indicated that the carrying value of the Mobileye reporting unit was in excess of its fair value. Therefore, the Company has recorded a non-cash impairment loss of $3,788 million, under “goodwill impairment” in the Condensed Consolidated Statements of Operations.</w:t>
      </w:r>
    </w:p>
    <w:p>
      <w:pPr>
        <w:spacing w:after="0" w:line="108"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Our impairment conclusion is sensitive to the market capitalization in that a further sustained decline in the Company’s market capitalization may require additional analysis to support the reasonability of our implied control premium, and may require further adjustments to certain key assumptions underlying our valuation.</w:t>
      </w:r>
    </w:p>
    <w:p>
      <w:pPr>
        <w:spacing w:after="0" w:line="95"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During the third quarter of 2026, we completed our quarterly qualitative assessment for indicators of goodwill impairment. Based on the assessment, no indicators were identified for the “Mobileye” reporting unit. For the “Other” reporting unit, we performed a quantitative goodwill impairment analysis in light of changes in business strategy and a related workforce reduction. The analysis indicated that no goodwill impairment was required. Fair value was estimated using the expected present value of future cash flows and is categorized as Level 3 within the fair value hierarchy due to the use of unobservable inputs.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13 - BUSINESS COMBINATIONS</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On February 3, 2026, the Company and Mobileye Vision Technologies Ltd. (a wholly-owned indirect subsidiary of the Company) acquired 100% of the issued and outstanding stock of Mentee Robotics, an AI-first humanoid robotics company, pursuant to the Share Purchase Agreement.</w:t>
      </w:r>
    </w:p>
    <w:p>
      <w:pPr>
        <w:spacing w:after="0" w:line="176" w:lineRule="exact"/>
        <w:rPr>
          <w:sz w:val="20"/>
          <w:szCs w:val="20"/>
          <w:color w:val="auto"/>
        </w:rPr>
      </w:pPr>
    </w:p>
    <w:p>
      <w:pPr>
        <w:jc w:val="both"/>
        <w:ind w:left="640" w:firstLine="324"/>
        <w:spacing w:after="0" w:line="253" w:lineRule="auto"/>
        <w:rPr>
          <w:sz w:val="20"/>
          <w:szCs w:val="20"/>
          <w:color w:val="auto"/>
        </w:rPr>
      </w:pPr>
      <w:r>
        <w:rPr>
          <w:rFonts w:ascii="Times New Roman" w:cs="Times New Roman" w:eastAsia="Times New Roman" w:hAnsi="Times New Roman"/>
          <w:sz w:val="18"/>
          <w:szCs w:val="18"/>
          <w:color w:val="auto"/>
        </w:rPr>
        <w:t>The Share Purchase Agreement provided for an aggregate purchase price of $900 million, which consisted of (i) approximately $612 million in cash, and (ii) 26,279,824 shares of Class A common stock of the Company. The entirety of such Class A common stock (the “Aggregate Stock Consideration”) was allocated to the co-founders of Mentee Robotics, Prof. Amnon Shashua, Prof. Shai Shalev-Shwartz and Prof. Lior Wolf (the “Mentee Founders”). 10% of the Aggregate Stock Consideration is subject to a six month lock-up period pursuant to a Lock-Up Agreement. The remaining 90% of the Aggregate Stock Consideration was deposited with a deferred consideration trustee and will be released in equal portions twenty-four and forty-eight months after the closing date of February 3, 2026, subject to continued employment, or under certain circumstances affiliation, with the Company and its subsidiaries. Prof. Amnon Shashua received 37.83% of the total consideration, valued at approximately $341 million, paid evenly in cash and Class A Common Stock, and Prof. Shai Shalev-Shwartz received 13.07% of the total consideration, valued at approximately $118 million, paid evenly in cash and the Company’s Class A common stock.</w:t>
      </w:r>
    </w:p>
    <w:p>
      <w:pPr>
        <w:spacing w:after="0" w:line="194"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At the closing, $95 million of the purchase price was deposited with an escrow agent (provided that with respect to the Mentee Founders, 50% of their pro rata portion of the escrow was deposited in the form of Class A common stock) to secure the post-closing purchase price adjustments and certain indemnification obligations of the shareholders of Mentee Robotics.</w:t>
      </w:r>
    </w:p>
    <w:p>
      <w:pPr>
        <w:spacing w:after="0" w:line="176"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Pursuant to the Share Purchase Agreement, (i) all vested options to acquire shares of Mentee Robotics (each option, a “Mentee Option”) and 20% of unvested Mentee Options (“Accelerated Options”) were cancelled and converted into the right to receive a portion of the cash consideration based on the intrinsic value of such Mentee Options at the purchase price and (ii) all remaining unvested Mentee Options were cancelled and converted into the right to receive a number of unvested RSUs of the Company calculated based on the volume weighted average of the closing sale prices for the Company’s Class A common stock over the thirty</w:t>
      </w:r>
    </w:p>
    <w:p>
      <w:pPr>
        <w:spacing w:after="0" w:line="3" w:lineRule="exact"/>
        <w:rPr>
          <w:sz w:val="20"/>
          <w:szCs w:val="20"/>
          <w:color w:val="auto"/>
        </w:rPr>
      </w:pPr>
    </w:p>
    <w:p>
      <w:pPr>
        <w:ind w:left="640" w:firstLine="4"/>
        <w:spacing w:after="0" w:line="260" w:lineRule="auto"/>
        <w:tabs>
          <w:tab w:leader="none" w:pos="98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Days ending immediately prior to February 3, 2026 and with a value equal to the intrinsic value of such Mentee Options at the purchase price.</w:t>
      </w:r>
    </w:p>
    <w:p>
      <w:pPr>
        <w:sectPr>
          <w:pgSz w:w="11900" w:h="16838" w:orient="portrait"/>
          <w:cols w:equalWidth="0" w:num="1">
            <w:col w:w="10360"/>
          </w:cols>
          <w:pgMar w:left="440" w:top="106" w:right="1099" w:bottom="1440" w:gutter="0" w:footer="0" w:header="0"/>
        </w:sectPr>
      </w:pPr>
    </w:p>
    <w:p>
      <w:pPr>
        <w:spacing w:after="0" w:line="28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360"/>
          </w:cols>
          <w:pgMar w:left="440" w:top="106" w:right="109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The Share Purchase Agreement contains customary representations, warranties and covenants of the Company, Mobileye Vision Technologies Ltd. and Mentee Robotics, certain of which (except for the representations and warranties of the Company) shall survive the closing of the Acquisition. The shareholders of Mentee Robotics have agreed to indemnify the Company and Mobileye Vision Technologies Ltd. for certain breaches of representations, warranties and covenants.</w:t>
      </w:r>
    </w:p>
    <w:p>
      <w:pPr>
        <w:spacing w:after="0" w:line="15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Purchase Price Allocation</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following table summarizes the purchase consideration for the Acquisition of Mentee Robotics:</w:t>
      </w:r>
    </w:p>
    <w:p>
      <w:pPr>
        <w:spacing w:after="0" w:line="259" w:lineRule="exact"/>
        <w:rPr>
          <w:sz w:val="20"/>
          <w:szCs w:val="20"/>
          <w:color w:val="auto"/>
        </w:rPr>
      </w:pPr>
    </w:p>
    <w:p>
      <w:pPr>
        <w:ind w:left="8500"/>
        <w:spacing w:after="0"/>
        <w:tabs>
          <w:tab w:leader="none" w:pos="8820" w:val="left"/>
        </w:tabs>
        <w:rPr>
          <w:sz w:val="20"/>
          <w:szCs w:val="20"/>
          <w:color w:val="auto"/>
        </w:rPr>
      </w:pPr>
      <w:r>
        <w:rPr>
          <w:rFonts w:ascii="Times New Roman" w:cs="Times New Roman" w:eastAsia="Times New Roman" w:hAnsi="Times New Roman"/>
          <w:sz w:val="14"/>
          <w:szCs w:val="14"/>
          <w:b w:val="1"/>
          <w:bCs w:val="1"/>
          <w:color w:val="auto"/>
        </w:rPr>
        <w:t>​​​</w:t>
        <w:tab/>
        <w:t>U.S. dollars in millions</w:t>
      </w:r>
    </w:p>
    <w:p>
      <w:pPr>
        <w:sectPr>
          <w:pgSz w:w="11900" w:h="16838" w:orient="portrait"/>
          <w:cols w:equalWidth="0" w:num="1">
            <w:col w:w="10360"/>
          </w:cols>
          <w:pgMar w:left="440" w:top="106" w:right="1099" w:bottom="1440" w:gutter="0" w:footer="0" w:header="0"/>
        </w:sectPr>
      </w:pP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Cash paid for outstanding Mentee shares (1)</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Cash paid for vested Mentee options (2)</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cash consideration</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Fair value of Mobileye Class A common stock issued to Mentee Founders (3)</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Fair value of Mentee options assumed by Mobileye (4)</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340" w:hanging="1337"/>
        <w:spacing w:after="0"/>
        <w:tabs>
          <w:tab w:leader="none" w:pos="1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583</w:t>
      </w:r>
    </w:p>
    <w:p>
      <w:pPr>
        <w:spacing w:after="0" w:line="7" w:lineRule="exact"/>
        <w:rPr>
          <w:rFonts w:ascii="Times New Roman" w:cs="Times New Roman" w:eastAsia="Times New Roman" w:hAnsi="Times New Roman"/>
          <w:sz w:val="18"/>
          <w:szCs w:val="18"/>
          <w:color w:val="auto"/>
        </w:rPr>
      </w:pPr>
    </w:p>
    <w:p>
      <w:pPr>
        <w:ind w:left="1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607</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w:t>
      </w:r>
    </w:p>
    <w:p>
      <w:pPr>
        <w:spacing w:after="0" w:line="9" w:lineRule="exact"/>
        <w:rPr>
          <w:sz w:val="20"/>
          <w:szCs w:val="20"/>
          <w:color w:val="auto"/>
        </w:rPr>
      </w:pPr>
    </w:p>
    <w:p>
      <w:pPr>
        <w:ind w:left="1340" w:hanging="1337"/>
        <w:spacing w:after="0"/>
        <w:tabs>
          <w:tab w:leader="none" w:pos="1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637</w:t>
      </w:r>
    </w:p>
    <w:p>
      <w:pPr>
        <w:spacing w:after="0" w:line="204" w:lineRule="exact"/>
        <w:rPr>
          <w:sz w:val="20"/>
          <w:szCs w:val="20"/>
          <w:color w:val="auto"/>
        </w:rPr>
      </w:pPr>
    </w:p>
    <w:p>
      <w:pPr>
        <w:sectPr>
          <w:pgSz w:w="11900" w:h="16838" w:orient="portrait"/>
          <w:cols w:equalWidth="0" w:num="2">
            <w:col w:w="7980" w:space="720"/>
            <w:col w:w="1660"/>
          </w:cols>
          <w:pgMar w:left="440" w:top="106" w:right="1099" w:bottom="1440" w:gutter="0" w:footer="0" w:header="0"/>
          <w:type w:val="continuous"/>
        </w:sectPr>
      </w:pPr>
    </w:p>
    <w:p>
      <w:pPr>
        <w:spacing w:after="0" w:line="56" w:lineRule="exact"/>
        <w:rPr>
          <w:sz w:val="20"/>
          <w:szCs w:val="20"/>
          <w:color w:val="auto"/>
        </w:rPr>
      </w:pPr>
    </w:p>
    <w:p>
      <w:pPr>
        <w:ind w:left="1300" w:hanging="332"/>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cash consideration paid to Mentee Robotics shareholders for their outstanding Mentee shares.</w:t>
      </w:r>
    </w:p>
    <w:p>
      <w:pPr>
        <w:spacing w:after="0" w:line="184" w:lineRule="exact"/>
        <w:rPr>
          <w:rFonts w:ascii="Times New Roman" w:cs="Times New Roman" w:eastAsia="Times New Roman" w:hAnsi="Times New Roman"/>
          <w:sz w:val="18"/>
          <w:szCs w:val="18"/>
          <w:color w:val="auto"/>
        </w:rPr>
      </w:pPr>
    </w:p>
    <w:p>
      <w:pPr>
        <w:jc w:val="both"/>
        <w:ind w:left="640" w:firstLine="328"/>
        <w:spacing w:after="0" w:line="261" w:lineRule="auto"/>
        <w:tabs>
          <w:tab w:leader="none" w:pos="12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cash consideration paid to Mentee Robotics employees for their vested options and accelerated options (which were converted into the right to receive cash consideration) for the portion attributable to the pre-combination service period. The portion of accelerated options value which is attributable to post-combination service period, amounted to $4 million and was recognized as an immediate expense.</w:t>
      </w:r>
    </w:p>
    <w:p>
      <w:pPr>
        <w:spacing w:after="0" w:line="139" w:lineRule="exact"/>
        <w:rPr>
          <w:rFonts w:ascii="Times New Roman" w:cs="Times New Roman" w:eastAsia="Times New Roman" w:hAnsi="Times New Roman"/>
          <w:sz w:val="18"/>
          <w:szCs w:val="18"/>
          <w:color w:val="auto"/>
        </w:rPr>
      </w:pPr>
    </w:p>
    <w:p>
      <w:pPr>
        <w:jc w:val="both"/>
        <w:ind w:left="640" w:firstLine="328"/>
        <w:spacing w:after="0" w:line="258" w:lineRule="auto"/>
        <w:tabs>
          <w:tab w:leader="none" w:pos="12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the Class A common stock (as of the closing date) issued to Mentee Founders that are not subject to continuing employment (10% of the Aggregate Stock Consideration). The substantial majority of the Class A common stock issued to Mentee Founders (90% of the Aggregate Stock Consideration) is contingent on continuing employment and therefore not recognized as part of the total purchase consideration of $637 million. The fair value of these Restricted Shares, amounting to $207 million will be recognized as share-based compensation expense over two and four years.</w:t>
      </w:r>
    </w:p>
    <w:p>
      <w:pPr>
        <w:spacing w:after="0" w:line="156" w:lineRule="exact"/>
        <w:rPr>
          <w:rFonts w:ascii="Times New Roman" w:cs="Times New Roman" w:eastAsia="Times New Roman" w:hAnsi="Times New Roman"/>
          <w:sz w:val="18"/>
          <w:szCs w:val="18"/>
          <w:color w:val="auto"/>
        </w:rPr>
      </w:pPr>
    </w:p>
    <w:p>
      <w:pPr>
        <w:jc w:val="both"/>
        <w:ind w:left="640" w:firstLine="328"/>
        <w:spacing w:after="0" w:line="266" w:lineRule="auto"/>
        <w:tabs>
          <w:tab w:leader="none" w:pos="128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fair value of Mentee Robotics options attributable to pre-acquisition services. The fair value of Mobileye RSUs that replaced Mentee Robotics unvested options that is attributable to post-combination services amounts to $10 million and will be recognized as an expense over a service period of up to four years.</w:t>
      </w:r>
    </w:p>
    <w:p>
      <w:pPr>
        <w:spacing w:after="0" w:line="13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Total purchase consideration has been allocated as follows: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42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  U.S. dollars in millions</w:t>
            </w:r>
          </w:p>
        </w:tc>
      </w:tr>
      <w:tr>
        <w:trPr>
          <w:trHeight w:val="210"/>
        </w:trPr>
        <w:tc>
          <w:tcPr>
            <w:tcW w:w="54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720" w:type="dxa"/>
            <w:vAlign w:val="bottom"/>
            <w:tcBorders>
              <w:top w:val="single" w:sz="8" w:color="CCEEFF"/>
            </w:tcBorders>
            <w:gridSpan w:val="2"/>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(1)</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27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r>
      <w:tr>
        <w:trPr>
          <w:trHeight w:val="209"/>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related accrued expenses</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4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7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r>
        <w:trPr>
          <w:trHeight w:val="210"/>
        </w:trPr>
        <w:tc>
          <w:tcPr>
            <w:tcW w:w="5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 of net assets acquired (2)</w:t>
            </w:r>
          </w:p>
        </w:tc>
        <w:tc>
          <w:tcPr>
            <w:tcW w:w="2720" w:type="dxa"/>
            <w:vAlign w:val="bottom"/>
            <w:gridSpan w:val="2"/>
          </w:tcPr>
          <w:p>
            <w:pPr>
              <w:spacing w:after="0"/>
              <w:rPr>
                <w:sz w:val="18"/>
                <w:szCs w:val="18"/>
                <w:color w:val="auto"/>
              </w:rPr>
            </w:pP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w:t>
            </w:r>
          </w:p>
        </w:tc>
      </w:tr>
      <w:tr>
        <w:trPr>
          <w:trHeight w:val="20"/>
        </w:trPr>
        <w:tc>
          <w:tcPr>
            <w:tcW w:w="24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88"/>
        </w:trPr>
        <w:tc>
          <w:tcPr>
            <w:tcW w:w="244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270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76" w:lineRule="exact"/>
        <w:rPr>
          <w:sz w:val="20"/>
          <w:szCs w:val="20"/>
          <w:color w:val="auto"/>
        </w:rPr>
      </w:pPr>
    </w:p>
    <w:p>
      <w:pPr>
        <w:ind w:left="960"/>
        <w:spacing w:after="0"/>
        <w:tabs>
          <w:tab w:leader="none" w:pos="1280" w:val="left"/>
        </w:tabs>
        <w:rPr>
          <w:sz w:val="20"/>
          <w:szCs w:val="20"/>
          <w:color w:val="auto"/>
        </w:rPr>
      </w:pPr>
      <w:r>
        <w:rPr>
          <w:rFonts w:ascii="Times New Roman" w:cs="Times New Roman" w:eastAsia="Times New Roman" w:hAnsi="Times New Roman"/>
          <w:sz w:val="18"/>
          <w:szCs w:val="18"/>
          <w:color w:val="auto"/>
        </w:rPr>
        <w:t>*</w:t>
        <w:tab/>
        <w:t>Less than $1 million.</w:t>
      </w:r>
    </w:p>
    <w:p>
      <w:pPr>
        <w:sectPr>
          <w:pgSz w:w="11900" w:h="16838" w:orient="portrait"/>
          <w:cols w:equalWidth="0" w:num="1">
            <w:col w:w="10360"/>
          </w:cols>
          <w:pgMar w:left="440" w:top="106" w:right="1099" w:bottom="1440" w:gutter="0" w:footer="0" w:header="0"/>
          <w:type w:val="continuous"/>
        </w:sectPr>
      </w:pPr>
    </w:p>
    <w:p>
      <w:pPr>
        <w:spacing w:after="0" w:line="29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360"/>
          </w:cols>
          <w:pgMar w:left="440" w:top="106" w:right="109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MOBILEYE GLOBAL INC.</w:t>
      </w:r>
    </w:p>
    <w:p>
      <w:pPr>
        <w:spacing w:after="0" w:line="50"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9" w:lineRule="exact"/>
        <w:rPr>
          <w:sz w:val="20"/>
          <w:szCs w:val="20"/>
          <w:color w:val="auto"/>
        </w:rPr>
      </w:pPr>
    </w:p>
    <w:p>
      <w:pPr>
        <w:jc w:val="both"/>
        <w:ind w:left="640" w:firstLine="328"/>
        <w:spacing w:after="0" w:line="266" w:lineRule="auto"/>
        <w:tabs>
          <w:tab w:leader="none" w:pos="12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Developed IP Asset was determined using the Multi-Period Excess Earnings Method and will be amortized over a useful life of 9 years. The significant assumptions used include useful economic life, estimated annual net cash flows, discount rate and applicable tax rate.</w:t>
      </w:r>
    </w:p>
    <w:p>
      <w:pPr>
        <w:spacing w:after="0" w:line="148" w:lineRule="exact"/>
        <w:rPr>
          <w:rFonts w:ascii="Times New Roman" w:cs="Times New Roman" w:eastAsia="Times New Roman" w:hAnsi="Times New Roman"/>
          <w:sz w:val="18"/>
          <w:szCs w:val="18"/>
          <w:color w:val="auto"/>
        </w:rPr>
      </w:pPr>
    </w:p>
    <w:p>
      <w:pPr>
        <w:ind w:left="640" w:firstLine="328"/>
        <w:spacing w:after="0" w:line="282" w:lineRule="auto"/>
        <w:tabs>
          <w:tab w:leader="none" w:pos="128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assets and liabilities acquired is based on our preliminary valuations. Final adjustments may be made to the purchase price allocation if more information becomes available.</w:t>
      </w:r>
    </w:p>
    <w:p>
      <w:pPr>
        <w:spacing w:after="0" w:line="121"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The goodwill is primarily attributable to the expected synergies and other benefits that will be generated from the combination of Mobileye and Mentee Robotics, as well as the value attributable to the assembled workforce. Goodwill arising from the Acquisition has been allocated to the Mobileye reporting segment.</w:t>
      </w:r>
    </w:p>
    <w:p>
      <w:pPr>
        <w:spacing w:after="0" w:line="135"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The Law for Encouragement of Knowledge-Intensive Industry (Temporary Order) — 2023 by the Israel Tax Authorities, generally referred to as the “Angels Law”, includes several incentives to promote, inter alia, investments of Israeli Technological companies in Israeli or foreign technological companies, allowing a five-year amortization period for the acquisition net cost, as defined by the Angels Law and subject to meeting certain conditions. In August 2026, regulations of the Angels Law were published and introduced an elective mechanism for eligible acquiring companies under the Angels Law, to convert the benefit of the tax deduction into refundable tax credits, starting 2026, with an option to receive the benefit as a cash grant, subject to the conditions and timing prescribed by the regulations. To qualify for this tax benefit, certain requirements must be met, as defined by the Angels Law and the regulations. The Company expects the acquisition of Mentee Robotics to satisfy the requirements for tax incentives under the Angels Law.</w:t>
      </w:r>
    </w:p>
    <w:p>
      <w:pPr>
        <w:spacing w:after="0" w:line="143" w:lineRule="exact"/>
        <w:rPr>
          <w:sz w:val="20"/>
          <w:szCs w:val="20"/>
          <w:color w:val="auto"/>
        </w:rPr>
      </w:pPr>
    </w:p>
    <w:p>
      <w:pPr>
        <w:jc w:val="both"/>
        <w:ind w:left="640" w:firstLine="324"/>
        <w:spacing w:after="0" w:line="228" w:lineRule="exact"/>
        <w:rPr>
          <w:sz w:val="20"/>
          <w:szCs w:val="20"/>
          <w:color w:val="auto"/>
        </w:rPr>
      </w:pPr>
      <w:r>
        <w:rPr>
          <w:rFonts w:ascii="Times New Roman" w:cs="Times New Roman" w:eastAsia="Times New Roman" w:hAnsi="Times New Roman"/>
          <w:sz w:val="18"/>
          <w:szCs w:val="18"/>
          <w:color w:val="auto"/>
        </w:rPr>
        <w:t>For U.S. tax purposes, the Company has elected to treat the acquisition as an asset purchase. The election will result in a step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in the tax basis of the acquired assets to their estimated fair values. The step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will create deductible temporary differences primarily related to intangible assets and goodwill, which are expected to be amortized over fifteen years for U.S. tax purposes.</w:t>
      </w:r>
    </w:p>
    <w:p>
      <w:pPr>
        <w:spacing w:after="0" w:line="15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26, 2026, we incurred $6 million of transaction costs related to the Acquisition which were recorded in general and administrative expenses in the condensed consolidated statements of operations and comprehensive income (loss).</w:t>
      </w:r>
    </w:p>
    <w:p>
      <w:pPr>
        <w:spacing w:after="0" w:line="135"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The operating results of Mentee Robotics have been included in the condensed consolidated statements of operations and comprehensive income (loss) since the acquisition date and are not material. Proforma financial information has not been presented because the impact of the acquisition was not material to the condensed consolidated statements of operations and comprehensive income (loss).</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NOTE 14 - SUBSEQUENT EVENTS</w:t>
      </w:r>
    </w:p>
    <w:p>
      <w:pPr>
        <w:spacing w:after="0" w:line="2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In October 2026, the Company’s compensation committee approved the issuance of restricted stock units to be issued under our 2022 Plan. The total aggregate fair value of RSUs granted was $17.5 million, which consisted of 2,461 thousand RSUs, which will vest over a service period of three years.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360"/>
          </w:cols>
          <w:pgMar w:left="440" w:top="106" w:right="1099"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related notes included elsewhere in this report. Some of the information contained in this discussion and analysis includes forward-looking statements that involve risks and uncertainties. You should review the sections titled “Cautionary Note Regarding Forward-Looking Statements” and “Risk Factors” included elsewhere in this report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jc w:val="both"/>
        <w:ind w:left="640" w:firstLine="324"/>
        <w:spacing w:after="0" w:line="255" w:lineRule="auto"/>
        <w:rPr>
          <w:sz w:val="20"/>
          <w:szCs w:val="20"/>
          <w:color w:val="auto"/>
        </w:rPr>
      </w:pPr>
      <w:r>
        <w:rPr>
          <w:rFonts w:ascii="Times New Roman" w:cs="Times New Roman" w:eastAsia="Times New Roman" w:hAnsi="Times New Roman"/>
          <w:sz w:val="18"/>
          <w:szCs w:val="18"/>
          <w:color w:val="auto"/>
        </w:rPr>
        <w:t>Mobileye is a leader in the development and deployment of advanced driver assistance systems (“ADAS”) and autonomous driving technologies and solutions. We pioneered ADAS technology more than 25 years ago and have continuously expanded the scope of our ADAS offerings, while leading the evolution to autonomous driving solutions. On February 3, 2026, we completed the acquisition of Mentee Robotics, a humanoid robotics company. This acquisition combines Mobileye’s advanced artificial intelligence (“AI”) technology and global production expertise with Mentee Robotics’ breakthrough humanoid platform and deep AI talent, creating a comprehensive provider of Physical AI technology across two transformative markets: autonomous driving and humanoid robotics.</w:t>
      </w:r>
    </w:p>
    <w:p>
      <w:pPr>
        <w:spacing w:after="0" w:line="18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80" w:lineRule="exact"/>
        <w:rPr>
          <w:sz w:val="20"/>
          <w:szCs w:val="20"/>
          <w:color w:val="auto"/>
        </w:rPr>
      </w:pPr>
    </w:p>
    <w:p>
      <w:pPr>
        <w:jc w:val="both"/>
        <w:ind w:left="640" w:firstLine="324"/>
        <w:spacing w:after="0" w:line="236" w:lineRule="auto"/>
        <w:rPr>
          <w:sz w:val="20"/>
          <w:szCs w:val="20"/>
          <w:color w:val="auto"/>
        </w:rPr>
      </w:pPr>
      <w:r>
        <w:rPr>
          <w:rFonts w:ascii="Times New Roman" w:cs="Times New Roman" w:eastAsia="Times New Roman" w:hAnsi="Times New Roman"/>
          <w:sz w:val="18"/>
          <w:szCs w:val="18"/>
          <w:color w:val="auto"/>
        </w:rPr>
        <w:t>As of September 26, 2026, our solutions have been installed in approximately 1,400 vehicle models (including local country, year, and other vehicle model variations), and our System-on-Chips (“SoCs”) have been deployed in more than 268 million vehicles. We are actively working with more than 50 Original Equipment Manufacturers (“OEMs”) worldwide on the implementation of our ADAS solutions. In the nine months ended September 26, 2026, we shipped approximately 30.4 million of our systems, the substantial majority of which were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This represents an increase from the approximately 27.4 million of our systems that we shipped in the nine months ended September 27, 2025.</w:t>
      </w:r>
    </w:p>
    <w:p>
      <w:pPr>
        <w:spacing w:after="0" w:line="200"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We were founded in Israel in 1999. Our co-founder, Professor Amnon Shashua, is our President and Chief Executive Officer. In 2014, we completed an initial public offering as a foreign private issuer and traded under the symbol “MBLY” on the New York Stock Exchange. Intel Corporation (“Intel”) acquired Mobileye for $15.3 billion in 2017, after which we became a wholly-owned subsidiary of Intel. We completed the internal reorganization and design of our new public entity (the “Reorganization”) and our initial public offering (the “Mobileye IPO”) in October 2022.</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Operations in Israel.</w:t>
      </w:r>
    </w:p>
    <w:p>
      <w:pPr>
        <w:spacing w:after="0" w:line="229" w:lineRule="exact"/>
        <w:rPr>
          <w:sz w:val="20"/>
          <w:szCs w:val="20"/>
          <w:color w:val="auto"/>
        </w:rPr>
      </w:pPr>
    </w:p>
    <w:p>
      <w:pPr>
        <w:jc w:val="both"/>
        <w:ind w:left="640" w:firstLine="324"/>
        <w:spacing w:after="0" w:line="252" w:lineRule="auto"/>
        <w:rPr>
          <w:sz w:val="20"/>
          <w:szCs w:val="20"/>
          <w:color w:val="auto"/>
        </w:rPr>
      </w:pPr>
      <w:r>
        <w:rPr>
          <w:rFonts w:ascii="Times New Roman" w:cs="Times New Roman" w:eastAsia="Times New Roman" w:hAnsi="Times New Roman"/>
          <w:sz w:val="18"/>
          <w:szCs w:val="18"/>
          <w:color w:val="auto"/>
        </w:rPr>
        <w:t>On October 7, 2023, Hamas launched a series of attacks on civilian and military targets in Southern Israel and Central Israel, to which the Israel Defense Forces responded. In addition, Iran, Hezbollah and the Houthi movement attacked military and civilian targets in Israel, to which Israel responded, including through increased air and/or ground operations in Lebanon, Syria, Yemen and Iran. Following years of conflict in the region, on October 9, 2025, Israel, Hamas, the United States and other countries in the region agreed to a framework for a ceasefire in Gaza between Israel and Hamas. On February 28, 2026, the United States and Israel launched joint combat operations in Iran to which Iran and Hezbollah responded with ballistic missile and drone attacks on Israel as well as other countries and U.S. military bases in the region. Although the United States and Iran have announced ceasefire and de-escalation arrangements from time to time, including a memorandum of understanding entered into on June 17, 2026 that contemplates the termination of military operations on multiple fronts, hostilities have resumed and may continue or escalate. How long and how severe the current conflicts in Gaza, Northern Israel, Lebanon, Iran or the broader region last and become is unknown at this time and any continued clash among Israel, Hamas, Hezbollah, Iran or other countries or militant groups in the region may escalate in the future into a greater regional conflict. To date, our operations have not been materially affected, although as of October 21, 2026 approximately 1.6% of our employees have been called to reserve duty in the Israel Defense Forces. However, since these are events beyond our control, their continuation or cessation may affect our expectations. We continue to monitor political and military developments closely and examine the consequences for our operations and assets.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360"/>
          </w:cols>
          <w:pgMar w:left="440" w:top="106" w:right="1099"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left="640" w:firstLine="324"/>
        <w:spacing w:after="0" w:line="221" w:lineRule="auto"/>
        <w:rPr>
          <w:sz w:val="20"/>
          <w:szCs w:val="20"/>
          <w:color w:val="auto"/>
        </w:rPr>
      </w:pPr>
      <w:r>
        <w:rPr>
          <w:rFonts w:ascii="Times New Roman" w:cs="Times New Roman" w:eastAsia="Times New Roman" w:hAnsi="Times New Roman"/>
          <w:sz w:val="18"/>
          <w:szCs w:val="18"/>
          <w:color w:val="auto"/>
        </w:rPr>
        <w:t>We currently derive substantially all of our revenue from our commercially deployed ADAS solutions, including our Premium ADAS solutions. We are now approaching the start of production of an advanced set of solutions, including Mobileye Surround ADAS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Mobileye Chauffeur</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Mobileye Drive</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These solutions are propelled by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SoC and subsequent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generations, our next-generation software solutions, and our software-defined imaging radars. We expect these solutions will, over time, meaningfully contribute to changes in our mix of revenue and result in broader adoption of premium ADAS and AV products by our customers.</w:t>
      </w:r>
    </w:p>
    <w:p>
      <w:pPr>
        <w:spacing w:after="0" w:line="191" w:lineRule="exact"/>
        <w:rPr>
          <w:sz w:val="20"/>
          <w:szCs w:val="20"/>
          <w:color w:val="auto"/>
        </w:rPr>
      </w:pPr>
    </w:p>
    <w:p>
      <w:pPr>
        <w:jc w:val="both"/>
        <w:ind w:left="640" w:firstLine="324"/>
        <w:spacing w:after="0" w:line="226" w:lineRule="auto"/>
        <w:rPr>
          <w:sz w:val="20"/>
          <w:szCs w:val="20"/>
          <w:color w:val="auto"/>
        </w:rPr>
      </w:pPr>
      <w:r>
        <w:rPr>
          <w:rFonts w:ascii="Times New Roman" w:cs="Times New Roman" w:eastAsia="Times New Roman" w:hAnsi="Times New Roman"/>
          <w:sz w:val="18"/>
          <w:szCs w:val="18"/>
          <w:color w:val="auto"/>
        </w:rPr>
        <w:t>We generate the majority of our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to OEMs through sales to Tier 1 automotive suppliers. We typically sell our products with volume-based pricing and recognize the revenue and costs associated with our products upon shipment.</w:t>
      </w:r>
    </w:p>
    <w:p>
      <w:pPr>
        <w:spacing w:after="0" w:line="147"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129" w:lineRule="exact"/>
        <w:rPr>
          <w:sz w:val="20"/>
          <w:szCs w:val="20"/>
          <w:color w:val="auto"/>
        </w:rPr>
      </w:pPr>
    </w:p>
    <w:p>
      <w:pPr>
        <w:jc w:val="both"/>
        <w:ind w:left="640" w:firstLine="324"/>
        <w:spacing w:after="0" w:line="210" w:lineRule="auto"/>
        <w:rPr>
          <w:sz w:val="20"/>
          <w:szCs w:val="20"/>
          <w:color w:val="auto"/>
        </w:rPr>
      </w:pPr>
      <w:r>
        <w:rPr>
          <w:rFonts w:ascii="Times New Roman" w:cs="Times New Roman" w:eastAsia="Times New Roman" w:hAnsi="Times New Roman"/>
          <w:sz w:val="18"/>
          <w:szCs w:val="18"/>
          <w:color w:val="auto"/>
        </w:rPr>
        <w:t>We partner with STMicroelectronics, a leading supplier and innovator of semiconductor devices for automotive applications, in manufacturing, design, and research and development. We have co-developed six generations of our automotive grade SoC,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with STMicroelectronics, including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and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6. We have also established relationships with several suppliers, such as Quanta Computer, to develop and assemble our ECUs, including the design for our Mobileye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which includes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5 SoCs manufactured by STMicroelectronics. As part of an effort to establish redundancy and better control of our supply chain, we have sought additional qualified suppliers, and we have recently entered into an agreement with TSMC (Taiwan Semiconductor Manufacturing Company Ltd.) pursuant to which it will manufacture components of our imaging radar and some of our future generations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 and potentially other future products.</w:t>
      </w:r>
    </w:p>
    <w:p>
      <w:pPr>
        <w:spacing w:after="0" w:line="39"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Our close partnership with Intel exists on multiple fronts. As a result of our relationship with Intel, we have access to unique and differentiating technologies. For example, we may license certain technologies from Intel that support the design and development of our software-defined imaging radar, including Intel’s mmWave technologies. Intel’s strength in government affairs and policy development around the world will continue to be of significant value to us as we collaborate with regulators who are preparing frameworks to enable commercial deployment of AVs.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360"/>
          </w:cols>
          <w:pgMar w:left="440" w:top="106" w:right="109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We believe there are several important factors that have affected and that we expect to continue to affect our results of operations:</w:t>
      </w:r>
    </w:p>
    <w:p>
      <w:pPr>
        <w:spacing w:after="0" w:line="221" w:lineRule="exact"/>
        <w:rPr>
          <w:sz w:val="20"/>
          <w:szCs w:val="20"/>
          <w:color w:val="auto"/>
        </w:rPr>
      </w:pPr>
    </w:p>
    <w:p>
      <w:pPr>
        <w:jc w:val="both"/>
        <w:ind w:left="640" w:firstLine="324"/>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demand for automotive vehicles. </w:t>
      </w:r>
      <w:r>
        <w:rPr>
          <w:rFonts w:ascii="Times New Roman" w:cs="Times New Roman" w:eastAsia="Times New Roman" w:hAnsi="Times New Roman"/>
          <w:sz w:val="18"/>
          <w:szCs w:val="18"/>
          <w:color w:val="auto"/>
        </w:rPr>
        <w:t>Our business performance is related to global automotive sales and automotive vehicle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geopolitical issues including trade restrictions and tariffs, as well as other factors. For example, towards the end of the first half of 2024, global automotive production forecasts weakened, which disproportionately impacted our core customers, primarily due to their continued market share losses in China. We cannot be certain of the severity and length of the continued volatility in the global automotive market, including macro factors impacting our sales to OEMs in China, and the extent of the adverse effect that such volatility could have on our results of operations, financial condition and business in the long-term. While automotive production has now recovered to approximately 2019 levels, current uncertain economic conditions and inflation may contribute to a reduction in consumer demand. In addition to economic conditions, in prior periods we have experienced variability in customer ordering patterns and demand timing driven by supply chain disruptions, inventory management practices and changes in OEM production expectations, including customers accelerating orders during periods of constrained supply and subsequently utilizing accumulated inventory before placing new orders. While these dynamics have largely normalized, similar fluctuations in customer ordering behavior, production estimates or inventory levels may recur in future periods and could result in variability in the timing of our revenue recognition. Additionally, recent increased demand for semi-conductor and other components has resulted in component shortages, price increases and longer order lead times, which may increase the pricing of our solutions and/or our ability to meet our customers’ demand. Certain Tier 1 customers may increase their orders for our solutions to counteract these component shortages and any resulting price increases or other impacts, causing some demand for our solutions and the corresponding revenue to be shifted to an earlier time period than otherwise would have occurred. ADAS volumes have grown faster in recent years than the overall automotive market as ADAS penetration rates have increased, and we believe that we will continue to benefit from that trend. Our revenue of $1,558 million in the nine months ended September 26, 2026 was up 8% year-over-year. Continued or future constraints on global automotive production resulting from the effects of economic uncertainty, both global and in specific markets in which we operate, may be a limiting factor on our ability to increase revenue. We expect to continue to capitalize on our strong and collaborative relationships with OEMs and Tier 1s to expand our presence in key markets and capture the long-term growth opportunities in those markets.</w:t>
      </w:r>
    </w:p>
    <w:p>
      <w:pPr>
        <w:spacing w:after="0" w:line="204" w:lineRule="exact"/>
        <w:rPr>
          <w:sz w:val="20"/>
          <w:szCs w:val="20"/>
          <w:color w:val="auto"/>
        </w:rPr>
      </w:pPr>
    </w:p>
    <w:p>
      <w:pPr>
        <w:jc w:val="both"/>
        <w:ind w:left="64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and integration of new technologies and expansion into adjacent markets. </w:t>
      </w:r>
      <w:r>
        <w:rPr>
          <w:rFonts w:ascii="Times New Roman" w:cs="Times New Roman" w:eastAsia="Times New Roman" w:hAnsi="Times New Roman"/>
          <w:sz w:val="18"/>
          <w:szCs w:val="18"/>
          <w:color w:val="auto"/>
        </w:rPr>
        <w:t>Our results of operations may be affected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our ability to successfully integrate acquired businesses and technologies and to effectively allocate resources to new areas of development. On February 3, 2026, we acquired Mentee Robotics, a privately held Israeli company focused on humanoid robotics. The integration of Mentee Robotics’ personnel, technology and operations may require significant management attention, capital investment and operating expenses, and we may not realize the anticipated benefits of the acquisition on the expected timeline or at all. Humanoid robotics is a nascent and rapidly evolving area characterized by significant technical complexity, long development timelines, potentially high capital requirements, uncertain customer demand and evolving regulatory and safety frameworks. Our investment in this area may result in increased research and development and operating expenses and may divert resources from our core ADAS and autonomous driving initiatives. In addition, the timing and extent of commercialization of humanoid robotics solutions remains uncertain with respect to scalability, economic viability and regulatory approval. In June 2026, we announced plans to establish a vertically integrated robotaxi business that would expand our role beyond supplying autonomous-driving technology to owning and operating an autonomous ride-hailing service. This expansion is in its initial stages, and may require significant management attention, Company resources, capital investment and operating expenses, and is subject to a number of risks and uncertainties, including with respect to its timing, cost and ultimate success. As a result, our expansion into adjacent markets and new business models, including through the acquisition of Mentee Robotics and our planned vertically integrated robotaxi business, may adversely affect our results of operations, margins and cash flows, particularly in the near to medium term.</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360"/>
          </w:cols>
          <w:pgMar w:left="440" w:top="106" w:right="1099"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 policies, sanctions and import and export controls. </w:t>
      </w:r>
      <w:r>
        <w:rPr>
          <w:rFonts w:ascii="Times New Roman" w:cs="Times New Roman" w:eastAsia="Times New Roman" w:hAnsi="Times New Roman"/>
          <w:sz w:val="18"/>
          <w:szCs w:val="18"/>
          <w:color w:val="auto"/>
        </w:rPr>
        <w:t>Trade policies and international disputes at times result in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tariffs, trade barriers and other restrictions, which can increase our manufacturing costs, make our solutions less competitive, reduce demand for our solutions, limit our ability to sell to certain customers, limit our ability to procure components or our suppliers’ ability to procure raw materials or impede or slow the movement of our goods across borders. In addition, tariffs could lead to higher prices for finished automobiles, which could reduce demand for automobiles and thus the market for our products. During 2025, the United States implemented a series of broad-based and sector-specific tariffs affecting passenger vehicles, automotive components and other industrial inputs, as well as country-specific tariff regimes and reciprocal trade measures. These actions were accompanied by ongoing bilateral and multilateral negotiations, interim trade agreements, pauses, delays and retaliatory measures by certain countries, resulting in significant uncertainty regarding the scope, timing and duration of applicable tariffs and export controls. In addition, sector-specific measures announced during 2025, including tariffs on certain raw materials, export controls affecting the semiconductor supply chain and evolving AI-related export control developments, have increased complexity and risk across global automotive and technology markets. During 2026, including the third quarter, U.S. trade policy continued to evolve through changes to tariff measures, judicial decisions concerning tariff authority and further governmental actions. As of the date of this report, there remains a high degree of uncertainty surrounding U.S. trade policy, how it will be implemented, how other countries will react, and how it will ultimately impact our industry and business. For example, our customers may have shifted or will shift orders for components and parts, including our solutions, adjust sourcing strategies or modify productions schedules, which could shift demand for our solutions and corresponding revenue between periods. While we continually evaluate changes in U.S. trade policy and global reactions thereto, as well as our ability to mitigate their impact, these developments may negatively impact our customers, our results of operations and our business. For additional information, see “Item 1A - Risk Factors - We are subject to risks related to trade policies, sanctions, and import and export controls” in our 2025 Form 10-K.</w:t>
      </w:r>
    </w:p>
    <w:p>
      <w:pPr>
        <w:spacing w:after="0" w:line="189" w:lineRule="exact"/>
        <w:rPr>
          <w:sz w:val="20"/>
          <w:szCs w:val="20"/>
          <w:color w:val="auto"/>
        </w:rPr>
      </w:pPr>
    </w:p>
    <w:p>
      <w:pPr>
        <w:jc w:val="both"/>
        <w:ind w:left="640" w:firstLine="324"/>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 wins with new and existing customers. </w:t>
      </w:r>
      <w:r>
        <w:rPr>
          <w:rFonts w:ascii="Times New Roman" w:cs="Times New Roman" w:eastAsia="Times New Roman" w:hAnsi="Times New Roman"/>
          <w:sz w:val="18"/>
          <w:szCs w:val="18"/>
          <w:color w:val="auto"/>
        </w:rPr>
        <w:t>Global OEMs are continuously looking for innovative ways to improve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including in-house technologies developed by our customers,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though there is no guarantee that our customers will purchase our solutions in any certain quantity or at any certain price even after we achieve design wins.</w:t>
      </w:r>
    </w:p>
    <w:p>
      <w:pPr>
        <w:spacing w:after="0" w:line="143" w:lineRule="exact"/>
        <w:rPr>
          <w:sz w:val="20"/>
          <w:szCs w:val="20"/>
          <w:color w:val="auto"/>
        </w:rPr>
      </w:pPr>
    </w:p>
    <w:p>
      <w:pPr>
        <w:jc w:val="both"/>
        <w:ind w:left="640" w:firstLine="324"/>
        <w:spacing w:after="0" w:line="23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technology leadership and product development. </w:t>
      </w:r>
      <w:r>
        <w:rPr>
          <w:rFonts w:ascii="Times New Roman" w:cs="Times New Roman" w:eastAsia="Times New Roman" w:hAnsi="Times New Roman"/>
          <w:sz w:val="18"/>
          <w:szCs w:val="18"/>
          <w:color w:val="auto"/>
        </w:rPr>
        <w:t>We believe our ability to continue to develop and design highly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advanced systems will ultimately power autonomous driving solutions.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design further enables scalable ECU architectures, from supporting a variety of ADAS solution architectures to hosting the full workload of autonomous driving, while meeting stringent cost and power efficiency requirements. We expect that our software-defined imaging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w:t>
      </w:r>
    </w:p>
    <w:p>
      <w:pPr>
        <w:spacing w:after="0" w:line="144"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for ADAS and autonomous driving solutions. </w:t>
      </w:r>
      <w:r>
        <w:rPr>
          <w:rFonts w:ascii="Times New Roman" w:cs="Times New Roman" w:eastAsia="Times New Roman" w:hAnsi="Times New Roman"/>
          <w:sz w:val="18"/>
          <w:szCs w:val="18"/>
          <w:color w:val="auto"/>
        </w:rPr>
        <w:t>Demand for our solutions is influenced by the impact of regulation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ratings systems deployed by the various NCAPs, particularly the Euro 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360"/>
          </w:cols>
          <w:pgMar w:left="440" w:top="106" w:right="1099"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firstLine="324"/>
        <w:spacing w:after="0" w:line="253" w:lineRule="auto"/>
        <w:rPr>
          <w:sz w:val="20"/>
          <w:szCs w:val="20"/>
          <w:color w:val="auto"/>
        </w:rPr>
      </w:pPr>
      <w:r>
        <w:rPr>
          <w:rFonts w:ascii="Times New Roman" w:cs="Times New Roman" w:eastAsia="Times New Roman" w:hAnsi="Times New Roman"/>
          <w:sz w:val="18"/>
          <w:szCs w:val="18"/>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29" w:lineRule="exact"/>
        <w:rPr>
          <w:sz w:val="20"/>
          <w:szCs w:val="20"/>
          <w:color w:val="auto"/>
        </w:rPr>
      </w:pPr>
    </w:p>
    <w:p>
      <w:pPr>
        <w:jc w:val="both"/>
        <w:ind w:left="6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Consumer adoption of our ADAS and autonomous driving solutions. </w:t>
      </w:r>
      <w:r>
        <w:rPr>
          <w:rFonts w:ascii="Times New Roman" w:cs="Times New Roman" w:eastAsia="Times New Roman" w:hAnsi="Times New Roman"/>
          <w:sz w:val="18"/>
          <w:szCs w:val="18"/>
          <w:color w:val="auto"/>
        </w:rPr>
        <w:t>Our financial performance is in part driven by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awareness and demand for ADAS solutions. Over time we expect autonomous driving solutions to contribute meaningfully to our revenue growth. As a result, consumers’ demand for, and willingness to adopt, ADAS and autonomous driving technologies, including robotaxi services, will significantly impact our financial performance. We believe that our leadership in ADAS positions us to continue to set the standard for advanced autonomous solutions and will help us benefit from increasing consumer confidence in and demand for autonomous technology over time.</w:t>
      </w:r>
    </w:p>
    <w:p>
      <w:pPr>
        <w:spacing w:after="0" w:line="128" w:lineRule="exact"/>
        <w:rPr>
          <w:sz w:val="20"/>
          <w:szCs w:val="20"/>
          <w:color w:val="auto"/>
        </w:rPr>
      </w:pPr>
    </w:p>
    <w:p>
      <w:pPr>
        <w:jc w:val="both"/>
        <w:ind w:left="640" w:firstLine="324"/>
        <w:spacing w:after="0" w:line="23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Solution mix, pricing, and product costs. </w:t>
      </w:r>
      <w:r>
        <w:rPr>
          <w:rFonts w:ascii="Times New Roman" w:cs="Times New Roman" w:eastAsia="Times New Roman" w:hAnsi="Times New Roman"/>
          <w:sz w:val="18"/>
          <w:szCs w:val="18"/>
          <w:color w:val="auto"/>
        </w:rPr>
        <w:t>Solution mix is among the most important factors affecting our revenue and gross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margin, as our prices vary significantly across our solutions. The price of our solutions depends on the bundle of applications that are included in the specific product. Our solutions have different margin profiles. As we develop, bundle, and sell full systems that include third-party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on a percentage basis because of the greater third-party hardware content. However, as a result of a higher expected selling price for such systems, we expect our gross profit per unit will increase on a dollar basis.</w:t>
      </w:r>
    </w:p>
    <w:p>
      <w:pPr>
        <w:spacing w:after="0" w:line="199" w:lineRule="exact"/>
        <w:rPr>
          <w:sz w:val="20"/>
          <w:szCs w:val="20"/>
          <w:color w:val="auto"/>
        </w:rPr>
      </w:pPr>
    </w:p>
    <w:p>
      <w:pPr>
        <w:jc w:val="both"/>
        <w:ind w:left="640" w:firstLine="324"/>
        <w:spacing w:after="0" w:line="220" w:lineRule="auto"/>
        <w:rPr>
          <w:sz w:val="20"/>
          <w:szCs w:val="20"/>
          <w:color w:val="auto"/>
        </w:rPr>
      </w:pPr>
      <w:r>
        <w:rPr>
          <w:rFonts w:ascii="Times New Roman" w:cs="Times New Roman" w:eastAsia="Times New Roman" w:hAnsi="Times New Roman"/>
          <w:sz w:val="18"/>
          <w:szCs w:val="18"/>
          <w:color w:val="auto"/>
        </w:rPr>
        <w:t>Average selling price (“ASP”) varies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also are currently delivering full system solutions consisting of higher-function products such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which carry significantly higher prices as compared to our single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cloud-enhanced ADAS products. We believe our differentiated and scalable solutions consistently enhanced by additional features can enable us to maintain or increase overall ASPs over time, as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other advanced solutions become a larger portion of our product mix.</w:t>
      </w:r>
    </w:p>
    <w:p>
      <w:pPr>
        <w:spacing w:after="0" w:line="145" w:lineRule="exact"/>
        <w:rPr>
          <w:sz w:val="20"/>
          <w:szCs w:val="20"/>
          <w:color w:val="auto"/>
        </w:rPr>
      </w:pPr>
    </w:p>
    <w:p>
      <w:pPr>
        <w:jc w:val="both"/>
        <w:ind w:left="640" w:firstLine="324"/>
        <w:spacing w:after="0" w:line="253" w:lineRule="auto"/>
        <w:rPr>
          <w:sz w:val="20"/>
          <w:szCs w:val="20"/>
          <w:color w:val="auto"/>
        </w:rPr>
      </w:pPr>
      <w:r>
        <w:rPr>
          <w:rFonts w:ascii="Times New Roman" w:cs="Times New Roman" w:eastAsia="Times New Roman" w:hAnsi="Times New Roman"/>
          <w:sz w:val="18"/>
          <w:szCs w:val="18"/>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We experienced increases in input costs in 2022 and 2023 as a result of supply chain shortages, including the global semiconductor shortage, and inflationary pressures. While we were largely successful in increasing our ASPs to reflect these cost increases, we experienced a reduction in percentage gross margin as a result of these cost increases. More recently, the AI industry has generated increased demand for components necessary for the production of our solutions, including EyeQ™ SoCs and ECUs for our SuperVision™, Mobileye Chauffeur™ and Mobileye Drive™ solutions. This new demand has resulted in and may continue to result in increased competition for and shortages of components necessary for our solutions and substantial increases in prices for such components. Our gross margin has been and may continue to be affected by our ability to offset these and any future cost increases through realizing pricing increases on our solutions and achieving decreases in other production costs. We work closely with STMicroelectronics, Quanta Computer and other suppliers on a continuous basis to manage material costs, increase yields and improve manufacturing, assembly, and test costs.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360"/>
          </w:cols>
          <w:pgMar w:left="440" w:top="106" w:right="109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firstLine="324"/>
        <w:spacing w:after="0" w:line="24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and manufacturing capacity. </w:t>
      </w:r>
      <w:r>
        <w:rPr>
          <w:rFonts w:ascii="Times New Roman" w:cs="Times New Roman" w:eastAsia="Times New Roman" w:hAnsi="Times New Roman"/>
          <w:sz w:val="18"/>
          <w:szCs w:val="18"/>
          <w:color w:val="auto"/>
        </w:rPr>
        <w:t>Our solutions are dependent on the global semiconductor supply chain. The continued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could limit our ability to meet customer demand and result in delayed, reduced, or canceled orders. In prior periods, we experienced supply chain disruptions, raw material shortages and manufacturing capacity constraints that reduced the availability of key components, including EyeQ™ SoCs, and resulted in lower inventory levels and limitations on our ability to meet customer demand. As supply conditions improved, we increased inventory levels to help mitigate potential future constraints. However, as supply constraints continue or recur, depending on their duration and severity, we may again be required to operate with reduced inventory levels, which could limit our ability to meet customer demand. As a result, we are substantially reliant on timely shipments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from STMicroelectronics and ECUs from Quanta Computer (or other suppliers) and may in the future become reliant on additional suppliers such as TSMC, to fulfill customer orders and if such a shortfall of chips or ECUs were to occur, we may be unable to offset future supply constraints through the use of inventory on hand. Beginning in 2025 and continuing through the third quarter of 2026 the AI industry has generated increased demand for components necessary for the production of our solutions, including EyeQ™ SoCs and ECUs for our SuperVision™, Mobileye Chauffeur™ and Mobileye Drive™ solutions. This new demand has resulted in and may continue to result in increased competition for and shortages of components necessary for our solutions, substantial increases in prices for such components and suppliers requiring us to increase lead times and purchase greater quantities of such components in advance in order to ensure we secure sufficient supply. Such shortages of components, as well as the increases in pricing, order requirements and lead times, have and may continue to impact our ability to supply solutions to our customers in order to meet demand as well as impact OEMs’ ability to purchase our solutions. Our reliance on single or limited suppliers and vendors for certain components, equipment, and services and the aforementioned shortages of substrates and other components have led to increased supply chain risks and continue to stress our ability to meet the supply demands of our customers. To mitigate these supply chain constraints, management continues to monitor inventory levels on an ongoing basis. Although we cannot fully predict the length and the severity of the impact these pressures will have on a long-term basis, we do not currently anticipate that our current supply chain constraints would materially adversely affect our results of operations, capital resources, sales, profits, and liquidity on a long-term basis.</w:t>
      </w:r>
    </w:p>
    <w:p>
      <w:pPr>
        <w:spacing w:after="0" w:line="142" w:lineRule="exact"/>
        <w:rPr>
          <w:sz w:val="20"/>
          <w:szCs w:val="20"/>
          <w:color w:val="auto"/>
        </w:rPr>
      </w:pPr>
    </w:p>
    <w:p>
      <w:pPr>
        <w:jc w:val="both"/>
        <w:ind w:left="64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Equity compensation expenses. </w:t>
      </w:r>
      <w:r>
        <w:rPr>
          <w:rFonts w:ascii="Times New Roman" w:cs="Times New Roman" w:eastAsia="Times New Roman" w:hAnsi="Times New Roman"/>
          <w:sz w:val="18"/>
          <w:szCs w:val="18"/>
          <w:color w:val="auto"/>
        </w:rPr>
        <w:t>In connection with the Mobileye IPO, we established an equity incentive plan for purposes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granting share-based compensation awards to certain members of our senior management, to our non-employee directors and to employees, to incentivize their performance and align their interests with ours. Equity compensation has been, and will continue to be, an important part of our future compensation strategy and a significant component of our future expenses, which we expect to increase over time.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Intel Segment Reporting</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Certain of our financial results are presented as an operating segment within Intel’s publicly reported financial results. The financial results for us reported by Intel in its segment reporting may differ from our standalone financial results primarily due to Intel’s reporting of expenses related to certain corporate overhead functions and differences in the materiality thresholds applied to prepare consolidated financial results for Intel and for Mobileye on a standalone basis.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40" w:firstLine="324"/>
        <w:spacing w:after="0" w:line="247" w:lineRule="auto"/>
        <w:rPr>
          <w:sz w:val="20"/>
          <w:szCs w:val="20"/>
          <w:color w:val="auto"/>
        </w:rPr>
      </w:pPr>
      <w:r>
        <w:rPr>
          <w:rFonts w:ascii="Times New Roman" w:cs="Times New Roman" w:eastAsia="Times New Roman" w:hAnsi="Times New Roman"/>
          <w:sz w:val="17"/>
          <w:szCs w:val="17"/>
          <w:color w:val="auto"/>
        </w:rPr>
        <w:t>We currently derive substantially all of our revenue from our commercially deployed ADAS solutions including our Premium ADAS solutions. We generate the majority of our revenue from the sale of our EyeQ</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SoCs to OEMs primarily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187" w:lineRule="exact"/>
        <w:rPr>
          <w:sz w:val="20"/>
          <w:szCs w:val="20"/>
          <w:color w:val="auto"/>
        </w:rPr>
      </w:pPr>
    </w:p>
    <w:p>
      <w:pPr>
        <w:jc w:val="both"/>
        <w:ind w:left="640" w:firstLine="324"/>
        <w:spacing w:after="0" w:line="228" w:lineRule="auto"/>
        <w:rPr>
          <w:sz w:val="20"/>
          <w:szCs w:val="20"/>
          <w:color w:val="auto"/>
        </w:rPr>
      </w:pPr>
      <w:r>
        <w:rPr>
          <w:rFonts w:ascii="Times New Roman" w:cs="Times New Roman" w:eastAsia="Times New Roman" w:hAnsi="Times New Roman"/>
          <w:sz w:val="18"/>
          <w:szCs w:val="18"/>
          <w:color w:val="auto"/>
        </w:rPr>
        <w:t>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sales represented approximately 90% and 89% of our revenue for the three months ended September 26, 2026 and September 27, 2025, respectively, and 90% and 91% of our revenue in the nine months ended September 26, 2026 and September 27, 2025, respectively. Sales of our SuperVision™ product represented over half of the remainder of our revenue for the three months ended September 26, 2026 and September 27, 2025, and for the nine months ended September 26, 2026. Sales of our SuperVision™ product represented less than half of the remainder of our revenue for the nine months ended September 27, 2025. Revenue from the sale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products and SuperVision™ products is recognized at the time of product shipment from our facilities, as determined by the agreed-upon shipping terms. Our sales to any single Tier 1 automotive supplier typically cover more than one OEM and more than one production program from any OEM.</w:t>
      </w:r>
    </w:p>
    <w:p>
      <w:pPr>
        <w:sectPr>
          <w:pgSz w:w="11900" w:h="16838" w:orient="portrait"/>
          <w:cols w:equalWidth="0" w:num="1">
            <w:col w:w="10360"/>
          </w:cols>
          <w:pgMar w:left="440" w:top="106" w:right="1099" w:bottom="1440" w:gutter="0" w:footer="0" w:header="0"/>
        </w:sectPr>
      </w:pPr>
    </w:p>
    <w:p>
      <w:pPr>
        <w:spacing w:after="0" w:line="3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360"/>
          </w:cols>
          <w:pgMar w:left="440" w:top="106" w:right="1099"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1" w:lineRule="exact"/>
        <w:rPr>
          <w:sz w:val="20"/>
          <w:szCs w:val="20"/>
          <w:color w:val="auto"/>
        </w:rPr>
      </w:pPr>
    </w:p>
    <w:p>
      <w:pPr>
        <w:jc w:val="both"/>
        <w:ind w:left="640" w:firstLine="324"/>
        <w:spacing w:after="0" w:line="214" w:lineRule="auto"/>
        <w:rPr>
          <w:sz w:val="20"/>
          <w:szCs w:val="20"/>
          <w:color w:val="auto"/>
        </w:rPr>
      </w:pPr>
      <w:r>
        <w:rPr>
          <w:rFonts w:ascii="Times New Roman" w:cs="Times New Roman" w:eastAsia="Times New Roman" w:hAnsi="Times New Roman"/>
          <w:sz w:val="18"/>
          <w:szCs w:val="18"/>
          <w:color w:val="auto"/>
        </w:rPr>
        <w:t>Cost of revenue consists primarily of expenses associated with the manufacturing cost of our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and our SuperVision™ product, and amortization of acquired intangible assets, identified as developed technology and developed IP. Additional costs are royalty fees for the intellectual property that is included in the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personnel-related expenses, logistics and insurance costs and allocated overhead costs.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will decrease over time because of the greater hardware content included in our solutions. However, as a result of a higher expected selling price for such systems, we expect our gross profit per unit will increase on a dollar basis in future periods.</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primarily consist of expenses associated with personnel related expenses, facilities, equipment and supplies for research and development activities, materials, parts and other prototype development, cloud computing services, consulting and other professional services, quality assurance within the development programs, and allocated overhead costs.</w:t>
      </w:r>
    </w:p>
    <w:p>
      <w:pPr>
        <w:spacing w:after="0" w:line="176"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We enter into best-efforts nonrefundable non-recurring engineering (“NRE”)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183"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On March 29, 2026, the Israeli Knesset enacted the “Law for the Encouragement and Incentivization of Research and Development, 2026” (the “R&amp;D Law”). The R&amp;D Law introduces a refundable tax credit regime which applies to qualifying research and developments expenditures incurred in tax years beginning on or after January 1, 2026. The R&amp;D Law provides eligible companies with an incentive calculated as a percentage of qualifying research and development expenditures incurred in Israel. Subject to applicable statutory requirements and other conditions, the incentive may be offset against Israeli income taxes or Israeli qualified domestic minimum top-up taxes (“QDMTT”). Alternatively, an unused grant may be received in cash after the prescribed carryforward period, or an eligible company may make an irrevocable election to receive the incentive as a cash grant rather than a credit. Such incentives are recognized as a reduction of research and development expenses once there is reasonable assurance that the Company complies with required conditions and the incentive will be received.</w:t>
      </w:r>
    </w:p>
    <w:p>
      <w:pPr>
        <w:spacing w:after="0" w:line="188" w:lineRule="exact"/>
        <w:rPr>
          <w:sz w:val="20"/>
          <w:szCs w:val="20"/>
          <w:color w:val="auto"/>
        </w:rPr>
      </w:pPr>
    </w:p>
    <w:p>
      <w:pPr>
        <w:jc w:val="both"/>
        <w:ind w:left="640" w:firstLine="324"/>
        <w:spacing w:after="0" w:line="233" w:lineRule="auto"/>
        <w:rPr>
          <w:sz w:val="20"/>
          <w:szCs w:val="20"/>
          <w:color w:val="auto"/>
        </w:rPr>
      </w:pPr>
      <w:r>
        <w:rPr>
          <w:rFonts w:ascii="Times New Roman" w:cs="Times New Roman" w:eastAsia="Times New Roman" w:hAnsi="Times New Roman"/>
          <w:sz w:val="18"/>
          <w:szCs w:val="18"/>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The expected increase is mainly due to additional research and development headcount and higher direct expenses that we expect to incur in connection with the development of our new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generations, Premium Driver-Assist offerings and the investment in software and hardware infrastructure for our AV solutions and active sensor suite.</w:t>
      </w:r>
    </w:p>
    <w:p>
      <w:pPr>
        <w:spacing w:after="0" w:line="19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Sales and marketing expenses consist primarily of expenses associated with the amortization of acquired intangible assets, comprised of customer relationships and brands, personnel-related expenses, including share-based compensation of our sales force, as well as marketing expenses and allocated overhead costs.</w:t>
      </w:r>
    </w:p>
    <w:p>
      <w:pPr>
        <w:spacing w:after="0" w:line="176"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We expect to increase our sales and marketing expenses over time, as we continue our efforts to increase market awareness of the benefits of our solutions, but we expect sales and marketing expenses to decrease as a percentage of total revenue as our business grows.</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of personnel-related expenses, including share-based compensation of our executive, insurance costs, expenses associated with finance and legal departments, including legal and accounting fees, litigation expenses, and fees for professional and contract services.</w:t>
      </w:r>
    </w:p>
    <w:p>
      <w:pPr>
        <w:spacing w:after="0" w:line="176"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We expect our general and administrative expenses to moderately increase in absolute dollars but to decrease as a percentage of total revenue as our business grows. The expected increase is mainly associated with the costs related to being a public company, as well as the increased use of share-based compensation for general and administrative personnel.</w:t>
      </w:r>
    </w:p>
    <w:p>
      <w:pPr>
        <w:sectPr>
          <w:pgSz w:w="11900" w:h="16838" w:orient="portrait"/>
          <w:cols w:equalWidth="0" w:num="1">
            <w:col w:w="10360"/>
          </w:cols>
          <w:pgMar w:left="440" w:top="106" w:right="1099" w:bottom="1440" w:gutter="0" w:footer="0" w:header="0"/>
        </w:sectPr>
      </w:pPr>
    </w:p>
    <w:p>
      <w:pPr>
        <w:spacing w:after="0" w:line="28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360"/>
          </w:cols>
          <w:pgMar w:left="440" w:top="106" w:right="1099"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Goodwill impairment expenses consist of a non-cash impairment loss recognized for the goodwill of the “Mobileye” reporting unit in the nine months ended September 26, 2026, as a result of the impairment analysis the Company performed during the first quarter of 2026.</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 net</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Financial income (expense), net, consists primarily of income related to investments in money market funds, short term deposits as well as income from marketable securities, and fluctuations in value due to foreign exchange differences between our monetary assets and liabilities denominated in New Israeli Shekels and to a much lesser extent, the Euro, the Chinese Yuan, the Japanese Yen, and other currencies.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taxes</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Benefit (provision) for income taxes consists primarily of income taxes related to the United States, Israel and other foreign jurisdictions in which we conduct business. We also have incurred deferred tax liabilities with respect to tax amortization of certain acquired intangible assets. We are eligible for certain tax benefits in Israel under the Investment Law, at a reduced tax rate, subject to specified terms.</w:t>
      </w:r>
    </w:p>
    <w:p>
      <w:pPr>
        <w:spacing w:after="0" w:line="180"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In addition, in 2021, the OECD announced an Inclusive Framework on Base Erosion and Profit Shifting including Pillar Two Model Rules defining the global minimum tax, which calls for the taxation of large multinational corporations at a minimum rate of 15%. Subsequently, multiple sets of administrative guidance have been issued. Many non-U.S. tax jurisdictions have either recently enacted legislation to adopt certain components of the Pillar Two Model Rules beginning in 2024 (including the European Union Member States), with the adoption of additional components in later years, or announced their plans to enact legislation in future years. In Israel, the regulations implementing the Pillar Two Model Rules became effective for tax years beginning after January 1, 2026. The Pillar Two Model Rules are not expected to have a material effect on our income tax provision for fiscal year 2026. We are continuing to evaluate the impacts of enacted legislation and pending legislation to enact Pillar Two Model Rules in the non-U.S. tax jurisdictions in which we operate. The Company is a constituent entity of its Parent for Pillar Two Model Rules purposes.</w:t>
      </w:r>
    </w:p>
    <w:p>
      <w:pPr>
        <w:spacing w:after="0" w:line="188" w:lineRule="exact"/>
        <w:rPr>
          <w:sz w:val="20"/>
          <w:szCs w:val="20"/>
          <w:color w:val="auto"/>
        </w:rPr>
      </w:pPr>
    </w:p>
    <w:p>
      <w:pPr>
        <w:jc w:val="both"/>
        <w:ind w:left="640" w:firstLine="324"/>
        <w:spacing w:after="0" w:line="255" w:lineRule="auto"/>
        <w:rPr>
          <w:sz w:val="20"/>
          <w:szCs w:val="20"/>
          <w:color w:val="auto"/>
        </w:rPr>
      </w:pPr>
      <w:r>
        <w:rPr>
          <w:rFonts w:ascii="Times New Roman" w:cs="Times New Roman" w:eastAsia="Times New Roman" w:hAnsi="Times New Roman"/>
          <w:sz w:val="18"/>
          <w:szCs w:val="18"/>
          <w:color w:val="auto"/>
        </w:rPr>
        <w:t>On March 29, 2026, the Israeli Knesset approved the R&amp;D Law. The R&amp;D Law introduces a refundable tax credit regime calculated as a percentage of qualifying research and development expenditures incurred in Israel, beginning on or after January 1, 2026, and is intended to align with the OECD Pillar Two framework. Subject to applicable statutory requirements and other conditions, eligible companies may offset the incentive against Israeli income taxes or QDMTT. Alternatively, an unused grant may be received in cash after the prescribed carryforward period, or an eligible company may make an irrevocable election to receive the incentive as a cash grant rather than a credit. Such incentives are recognized as a reduction to research and development expenses once there is reasonable assurance the conditions will be met and the benefit will be received.</w:t>
      </w:r>
    </w:p>
    <w:p>
      <w:pPr>
        <w:spacing w:after="0" w:line="18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The Israeli operations of Mobileye, Moovit and Mentee Robotics are taxable in the United States as a branch entity. As a result, these operations are taxed both in the United States and Israel. For U.S. tax purposes, there are favorable future tax deductions that we have not benefited due to a valuation allowance position. If warranted, based on the assessment of verifiable evidence in support of the realization of deferred tax assets, the valuation allowances may be released, resulting in a tax benefit.</w:t>
      </w:r>
    </w:p>
    <w:p>
      <w:pPr>
        <w:spacing w:after="0" w:line="180"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periods presented in our condensed consolidated financial statements primarily relates to U.S. branch deferred tax assets not currently expected to be realized given that we have sustained recent losses.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360"/>
          </w:cols>
          <w:pgMar w:left="440" w:top="106" w:right="109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in dollars and as a percentage of revenue for the periods indicated:</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56"/>
        </w:trPr>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53"/>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4"/>
          </w:tcPr>
          <w:p>
            <w:pPr>
              <w:jc w:val="right"/>
              <w:ind w:right="52"/>
              <w:spacing w:after="0" w:line="155"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34"/>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4"/>
          </w:tcPr>
          <w:p>
            <w:pPr>
              <w:jc w:val="right"/>
              <w:ind w:right="32"/>
              <w:spacing w:after="0" w:line="155"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80" w:type="dxa"/>
            <w:vAlign w:val="bottom"/>
            <w:gridSpan w:val="2"/>
          </w:tcPr>
          <w:p>
            <w:pPr>
              <w:spacing w:after="0"/>
              <w:rPr>
                <w:sz w:val="13"/>
                <w:szCs w:val="13"/>
                <w:color w:val="auto"/>
              </w:rPr>
            </w:pPr>
          </w:p>
        </w:tc>
      </w:tr>
      <w:tr>
        <w:trPr>
          <w:trHeight w:val="158"/>
        </w:trPr>
        <w:tc>
          <w:tcPr>
            <w:tcW w:w="2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73"/>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72"/>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74"/>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72"/>
              <w:spacing w:after="0" w:line="158" w:lineRule="exact"/>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gridSpan w:val="2"/>
          </w:tcPr>
          <w:p>
            <w:pPr>
              <w:spacing w:after="0"/>
              <w:rPr>
                <w:sz w:val="13"/>
                <w:szCs w:val="13"/>
                <w:color w:val="auto"/>
              </w:rPr>
            </w:pPr>
          </w:p>
        </w:tc>
      </w:tr>
      <w:tr>
        <w:trPr>
          <w:trHeight w:val="173"/>
        </w:trPr>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4"/>
                <w:szCs w:val="14"/>
                <w:color w:val="auto"/>
              </w:rPr>
              <w:t xml:space="preserve">  ​​​</w:t>
            </w: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4"/>
          </w:tcPr>
          <w:p>
            <w:pPr>
              <w:jc w:val="right"/>
              <w:ind w:right="29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Revenue</w:t>
            </w: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4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Revenue</w:t>
            </w:r>
            <w:r>
              <w:rPr>
                <w:rFonts w:ascii="Times New Roman" w:cs="Times New Roman" w:eastAsia="Times New Roman" w:hAnsi="Times New Roman"/>
                <w:sz w:val="14"/>
                <w:szCs w:val="14"/>
                <w:color w:val="auto"/>
              </w:rPr>
              <w:t xml:space="preserve">  ​​​</w:t>
            </w: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Revenue</w:t>
            </w:r>
          </w:p>
        </w:tc>
      </w:tr>
      <w:tr>
        <w:trPr>
          <w:trHeight w:val="210"/>
        </w:trPr>
        <w:tc>
          <w:tcPr>
            <w:tcW w:w="2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2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52 %</w:t>
            </w:r>
          </w:p>
        </w:tc>
      </w:tr>
      <w:tr>
        <w:trPr>
          <w:trHeight w:val="209"/>
        </w:trPr>
        <w:tc>
          <w:tcPr>
            <w:tcW w:w="2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243</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9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6 %</w:t>
            </w: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w:t>
            </w:r>
          </w:p>
        </w:tc>
        <w:tc>
          <w:tcPr>
            <w:tcW w:w="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0"/>
        </w:trPr>
        <w:tc>
          <w:tcPr>
            <w:tcW w:w="2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4,779</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09"/>
        </w:trPr>
        <w:tc>
          <w:tcPr>
            <w:tcW w:w="27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(expense), net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(255)%</w:t>
            </w: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16"/>
        </w:trPr>
        <w:tc>
          <w:tcPr>
            <w:tcW w:w="2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9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09"/>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20"/>
        </w:trPr>
        <w:tc>
          <w:tcPr>
            <w:tcW w:w="2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8"/>
        </w:trPr>
        <w:tc>
          <w:tcPr>
            <w:tcW w:w="244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(1) Includes amortization of acquired intangible assets, as follows: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6"/>
        </w:trPr>
        <w:tc>
          <w:tcPr>
            <w:tcW w:w="40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480" w:type="dxa"/>
            <w:vAlign w:val="bottom"/>
          </w:tcPr>
          <w:p>
            <w:pPr>
              <w:ind w:left="4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1340" w:type="dxa"/>
            <w:vAlign w:val="bottom"/>
            <w:tcBorders>
              <w:top w:val="single" w:sz="8" w:color="auto"/>
            </w:tcBorders>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tcBorders>
              <w:top w:val="single" w:sz="8" w:color="auto"/>
            </w:tcBorders>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 ​​September​ 27, 2025</w:t>
            </w:r>
          </w:p>
        </w:tc>
        <w:tc>
          <w:tcPr>
            <w:tcW w:w="20" w:type="dxa"/>
            <w:vAlign w:val="bottom"/>
          </w:tcPr>
          <w:p>
            <w:pPr>
              <w:spacing w:after="0"/>
              <w:rPr>
                <w:sz w:val="13"/>
                <w:szCs w:val="13"/>
                <w:color w:val="auto"/>
              </w:rPr>
            </w:pPr>
          </w:p>
        </w:tc>
      </w:tr>
      <w:tr>
        <w:trPr>
          <w:trHeight w:val="209"/>
        </w:trPr>
        <w:tc>
          <w:tcPr>
            <w:tcW w:w="40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0" w:type="dxa"/>
            <w:vAlign w:val="bottom"/>
          </w:tcPr>
          <w:p>
            <w:pPr>
              <w:spacing w:after="0"/>
              <w:rPr>
                <w:sz w:val="18"/>
                <w:szCs w:val="18"/>
                <w:color w:val="auto"/>
              </w:rPr>
            </w:pPr>
          </w:p>
        </w:tc>
      </w:tr>
      <w:tr>
        <w:trPr>
          <w:trHeight w:val="216"/>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8"/>
                <w:szCs w:val="18"/>
                <w:color w:val="auto"/>
              </w:rPr>
            </w:pPr>
          </w:p>
        </w:tc>
      </w:t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amortization of acquired intangible assets</w:t>
            </w:r>
          </w:p>
        </w:tc>
        <w:tc>
          <w:tcPr>
            <w:tcW w:w="48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w:t>
            </w: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296</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20" w:type="dxa"/>
            <w:vAlign w:val="bottom"/>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8"/>
        </w:trPr>
        <w:tc>
          <w:tcPr>
            <w:tcW w:w="2440" w:type="dxa"/>
            <w:vAlign w:val="bottom"/>
            <w:tcBorders>
              <w:bottom w:val="single" w:sz="8" w:color="auto"/>
            </w:tcBorders>
          </w:tcPr>
          <w:p>
            <w:pPr>
              <w:spacing w:after="0"/>
              <w:rPr>
                <w:sz w:val="7"/>
                <w:szCs w:val="7"/>
                <w:color w:val="auto"/>
              </w:rPr>
            </w:pPr>
          </w:p>
        </w:tc>
        <w:tc>
          <w:tcPr>
            <w:tcW w:w="1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(2) Includes share-based compensation expense, as follows:</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346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060" w:type="dxa"/>
            <w:vAlign w:val="bottom"/>
          </w:tcPr>
          <w:p>
            <w:pPr>
              <w:ind w:left="10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134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 ​​September​ 27, 2025</w:t>
            </w:r>
          </w:p>
        </w:tc>
        <w:tc>
          <w:tcPr>
            <w:tcW w:w="20" w:type="dxa"/>
            <w:vAlign w:val="bottom"/>
          </w:tcPr>
          <w:p>
            <w:pPr>
              <w:spacing w:after="0"/>
              <w:rPr>
                <w:sz w:val="13"/>
                <w:szCs w:val="13"/>
                <w:color w:val="auto"/>
              </w:rPr>
            </w:pPr>
          </w:p>
        </w:tc>
      </w:tr>
      <w:tr>
        <w:trPr>
          <w:trHeight w:val="210"/>
        </w:trPr>
        <w:tc>
          <w:tcPr>
            <w:tcW w:w="3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8"/>
                <w:szCs w:val="18"/>
                <w:color w:val="auto"/>
              </w:rPr>
            </w:pPr>
          </w:p>
        </w:tc>
      </w:tr>
      <w:tr>
        <w:trPr>
          <w:trHeight w:val="216"/>
        </w:trPr>
        <w:tc>
          <w:tcPr>
            <w:tcW w:w="3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8"/>
                <w:szCs w:val="18"/>
                <w:color w:val="auto"/>
              </w:rPr>
            </w:pPr>
          </w:p>
        </w:tc>
      </w:tr>
      <w:tr>
        <w:trPr>
          <w:trHeight w:val="209"/>
        </w:trPr>
        <w:tc>
          <w:tcPr>
            <w:tcW w:w="3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10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20" w:type="dxa"/>
            <w:vAlign w:val="bottom"/>
          </w:tcPr>
          <w:p>
            <w:pPr>
              <w:spacing w:after="0"/>
              <w:rPr>
                <w:sz w:val="18"/>
                <w:szCs w:val="18"/>
                <w:color w:val="auto"/>
              </w:rPr>
            </w:pPr>
          </w:p>
        </w:tc>
      </w:tr>
      <w:tr>
        <w:trPr>
          <w:trHeight w:val="20"/>
        </w:trPr>
        <w:tc>
          <w:tcPr>
            <w:tcW w:w="2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9"/>
        </w:trPr>
        <w:tc>
          <w:tcPr>
            <w:tcW w:w="244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r>
    </w:tbl>
    <w:p>
      <w:pPr>
        <w:spacing w:after="0" w:line="76" w:lineRule="exact"/>
        <w:rPr>
          <w:sz w:val="20"/>
          <w:szCs w:val="20"/>
          <w:color w:val="auto"/>
        </w:rPr>
      </w:pPr>
    </w:p>
    <w:p>
      <w:pPr>
        <w:jc w:val="both"/>
        <w:ind w:left="640" w:right="20" w:firstLine="328"/>
        <w:spacing w:after="0" w:line="266" w:lineRule="auto"/>
        <w:tabs>
          <w:tab w:leader="none" w:pos="128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R&amp;D Law incentive grant related to ordinary income arising from sales of shares received from the settlement of RSUs which reflects the actual sale of shares of common stock issued upon conversion of restricted stock units and is recognized as a reduction to research and development expenses:</w:t>
      </w:r>
    </w:p>
    <w:p>
      <w:pPr>
        <w:spacing w:after="0" w:line="210"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33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160" w:type="dxa"/>
            <w:vAlign w:val="bottom"/>
          </w:tcPr>
          <w:p>
            <w:pPr>
              <w:ind w:left="1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1320" w:type="dxa"/>
            <w:vAlign w:val="bottom"/>
            <w:gridSpan w:val="3"/>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4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500" w:type="dxa"/>
            <w:vAlign w:val="bottom"/>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 ​​September​ 27, 2025</w:t>
            </w:r>
          </w:p>
        </w:tc>
        <w:tc>
          <w:tcPr>
            <w:tcW w:w="20" w:type="dxa"/>
            <w:vAlign w:val="bottom"/>
          </w:tcPr>
          <w:p>
            <w:pPr>
              <w:spacing w:after="0"/>
              <w:rPr>
                <w:sz w:val="13"/>
                <w:szCs w:val="13"/>
                <w:color w:val="auto"/>
              </w:rPr>
            </w:pPr>
          </w:p>
        </w:tc>
      </w:tr>
      <w:tr>
        <w:trPr>
          <w:trHeight w:val="210"/>
        </w:trPr>
        <w:tc>
          <w:tcPr>
            <w:tcW w:w="3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40" w:type="dxa"/>
            <w:vAlign w:val="bottom"/>
            <w:tcBorders>
              <w:top w:val="single" w:sz="8" w:color="auto"/>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80"/>
          </w:cols>
          <w:pgMar w:left="440" w:top="106"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380"/>
          </w:cols>
          <w:pgMar w:left="440" w:top="106" w:right="1079"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26, 2026 and September 27, 2025</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40" w:firstLine="324"/>
        <w:spacing w:after="0" w:line="201" w:lineRule="auto"/>
        <w:rPr>
          <w:sz w:val="20"/>
          <w:szCs w:val="20"/>
          <w:color w:val="auto"/>
        </w:rPr>
      </w:pPr>
      <w:r>
        <w:rPr>
          <w:rFonts w:ascii="Times New Roman" w:cs="Times New Roman" w:eastAsia="Times New Roman" w:hAnsi="Times New Roman"/>
          <w:sz w:val="18"/>
          <w:szCs w:val="18"/>
          <w:color w:val="auto"/>
        </w:rPr>
        <w:t>In the three months ended September 26, 2026, revenue decreased by $12 million compared to the three months ended September 27, 2025. This decrease in revenue was primarily due to a decrease of $6 million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revenue attributable to higher sales to Chinese OEMs with a lower average system price and a $4 million decrease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attributable to a decrease in volume. Average System Price, calculated as the sum of revenue related to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divided by the number of systems delivered, decreased by 5%, primarily due to the higher portion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sales to Chinese OEMs and a lower percentage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as compared to the third quarter of 2025.</w:t>
      </w:r>
    </w:p>
    <w:p>
      <w:pPr>
        <w:spacing w:after="0" w:line="87" w:lineRule="exact"/>
        <w:rPr>
          <w:sz w:val="20"/>
          <w:szCs w:val="20"/>
          <w:color w:val="auto"/>
        </w:rPr>
      </w:pPr>
    </w:p>
    <w:p>
      <w:pPr>
        <w:jc w:val="both"/>
        <w:ind w:left="640" w:firstLine="324"/>
        <w:spacing w:after="0" w:line="201" w:lineRule="auto"/>
        <w:rPr>
          <w:sz w:val="20"/>
          <w:szCs w:val="20"/>
          <w:color w:val="auto"/>
        </w:rPr>
      </w:pPr>
      <w:r>
        <w:rPr>
          <w:rFonts w:ascii="Times New Roman" w:cs="Times New Roman" w:eastAsia="Times New Roman" w:hAnsi="Times New Roman"/>
          <w:sz w:val="18"/>
          <w:szCs w:val="18"/>
          <w:color w:val="auto"/>
        </w:rPr>
        <w:t>In the nine months ended September 26, 2026, revenue increased by $110 million, or 8%, compared to the nine months ended September 27, 2025. This increase was primarily due to an increase of $84 million, or 6%,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$31 million or 63% in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revenue attributable mainly to an 11% and 42% increase in volumes respectively. Average System Price decreased by 2%, mainly due to the higher portion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sales to Chinese OEMs, partially offset by a higher percentage of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related revenue as compared to the nine months ended September 27, 2025.</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40" w:firstLine="324"/>
        <w:spacing w:after="0" w:line="271" w:lineRule="auto"/>
        <w:rPr>
          <w:sz w:val="20"/>
          <w:szCs w:val="20"/>
          <w:color w:val="auto"/>
        </w:rPr>
      </w:pPr>
      <w:r>
        <w:rPr>
          <w:rFonts w:ascii="Times New Roman" w:cs="Times New Roman" w:eastAsia="Times New Roman" w:hAnsi="Times New Roman"/>
          <w:sz w:val="18"/>
          <w:szCs w:val="18"/>
          <w:color w:val="auto"/>
        </w:rPr>
        <w:t>In the three months ended September 26, 2026, our cost of revenue decreased by $30 million, or 11% compared to the three months ended September 27, 2025. The decrease is attributed to a $42 million decrease in amortization of intangible assets partially offset by an increase in manufacturing costs mainly resulting from a different generation mix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sold.</w:t>
      </w:r>
    </w:p>
    <w:p>
      <w:pPr>
        <w:spacing w:after="0" w:line="59" w:lineRule="exact"/>
        <w:rPr>
          <w:sz w:val="20"/>
          <w:szCs w:val="20"/>
          <w:color w:val="auto"/>
        </w:rPr>
      </w:pPr>
    </w:p>
    <w:p>
      <w:pPr>
        <w:jc w:val="both"/>
        <w:ind w:left="640" w:firstLine="324"/>
        <w:spacing w:after="0" w:line="232" w:lineRule="auto"/>
        <w:rPr>
          <w:sz w:val="20"/>
          <w:szCs w:val="20"/>
          <w:color w:val="auto"/>
        </w:rPr>
      </w:pPr>
      <w:r>
        <w:rPr>
          <w:rFonts w:ascii="Times New Roman" w:cs="Times New Roman" w:eastAsia="Times New Roman" w:hAnsi="Times New Roman"/>
          <w:sz w:val="18"/>
          <w:szCs w:val="18"/>
          <w:color w:val="auto"/>
        </w:rPr>
        <w:t>In the nine months ended September 26, 2026, our cost of revenue increased by $41 million, or 5%, compared to the nine months ended September 27, 2025. The increase is attributed to manufacturing costs, mainly resulting from the increase in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systems, partially offset by a $37 million decrease in amortization of intangible assets.</w:t>
      </w:r>
    </w:p>
    <w:p>
      <w:pPr>
        <w:spacing w:after="0" w:line="8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Margin</w:t>
      </w:r>
    </w:p>
    <w:p>
      <w:pPr>
        <w:spacing w:after="0" w:line="229" w:lineRule="exact"/>
        <w:rPr>
          <w:sz w:val="20"/>
          <w:szCs w:val="20"/>
          <w:color w:val="auto"/>
        </w:rPr>
      </w:pPr>
    </w:p>
    <w:p>
      <w:pPr>
        <w:jc w:val="both"/>
        <w:ind w:left="640" w:firstLine="324"/>
        <w:spacing w:after="0" w:line="235" w:lineRule="auto"/>
        <w:rPr>
          <w:sz w:val="20"/>
          <w:szCs w:val="20"/>
          <w:color w:val="auto"/>
        </w:rPr>
      </w:pPr>
      <w:r>
        <w:rPr>
          <w:rFonts w:ascii="Times New Roman" w:cs="Times New Roman" w:eastAsia="Times New Roman" w:hAnsi="Times New Roman"/>
          <w:sz w:val="18"/>
          <w:szCs w:val="18"/>
          <w:color w:val="auto"/>
        </w:rPr>
        <w:t>In the three months ended September 26, 2026, our gross profit increased by $18 million, or 7% compared to the three months ended September 27, 2025. The increase was primarily due to a $42 million decrease in amortization of intangible assets partially offset by lower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average system price due to higher sales to Chinese OEMs and an increase in cost due to a different generation mix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sold.</w:t>
      </w:r>
    </w:p>
    <w:p>
      <w:pPr>
        <w:spacing w:after="0" w:line="89" w:lineRule="exact"/>
        <w:rPr>
          <w:sz w:val="20"/>
          <w:szCs w:val="20"/>
          <w:color w:val="auto"/>
        </w:rPr>
      </w:pPr>
    </w:p>
    <w:p>
      <w:pPr>
        <w:jc w:val="both"/>
        <w:ind w:left="640" w:firstLine="324"/>
        <w:spacing w:after="0" w:line="224" w:lineRule="auto"/>
        <w:rPr>
          <w:sz w:val="20"/>
          <w:szCs w:val="20"/>
          <w:color w:val="auto"/>
        </w:rPr>
      </w:pPr>
      <w:r>
        <w:rPr>
          <w:rFonts w:ascii="Times New Roman" w:cs="Times New Roman" w:eastAsia="Times New Roman" w:hAnsi="Times New Roman"/>
          <w:sz w:val="18"/>
          <w:szCs w:val="18"/>
          <w:color w:val="auto"/>
        </w:rPr>
        <w:t>In the nine months ended September 26, 2026, our gross profit increased by $69 million, or 10%, compared to the nine months ended September 27, 2025. The increase was primarily due to the increase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and SuperVision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revenue, in addition to a $37 million decrease in amortization of intangible assets.</w:t>
      </w:r>
    </w:p>
    <w:p>
      <w:pPr>
        <w:spacing w:after="0" w:line="199" w:lineRule="exact"/>
        <w:rPr>
          <w:sz w:val="20"/>
          <w:szCs w:val="20"/>
          <w:color w:val="auto"/>
        </w:rPr>
      </w:pPr>
    </w:p>
    <w:p>
      <w:pPr>
        <w:jc w:val="both"/>
        <w:ind w:left="640" w:firstLine="324"/>
        <w:spacing w:after="0" w:line="235" w:lineRule="auto"/>
        <w:rPr>
          <w:sz w:val="20"/>
          <w:szCs w:val="20"/>
          <w:color w:val="auto"/>
        </w:rPr>
      </w:pPr>
      <w:r>
        <w:rPr>
          <w:rFonts w:ascii="Times New Roman" w:cs="Times New Roman" w:eastAsia="Times New Roman" w:hAnsi="Times New Roman"/>
          <w:sz w:val="18"/>
          <w:szCs w:val="18"/>
          <w:color w:val="auto"/>
        </w:rPr>
        <w:t>In the three and nine months ended September 26, 2026, our gross margin increased to 53% and 49% compared to 48% in the three and nine months ended September 27, 2025. The increase in both periods was primarily due to a decrease in amortization of intangible assets as a percentage of revenue, partially offset by higher sales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to Chinese OEMs which carry lower ASP and an increase in cost due to a different generation mix of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sold.</w:t>
      </w:r>
    </w:p>
    <w:p>
      <w:pPr>
        <w:spacing w:after="0" w:line="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 net</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net, in the three months ended September 26, 2026, decreased by $20 million, or 7%, compared to the three months ended September 27, 2025. This decrease was primarily due to a $52 million R&amp;D Law incentive grant recognized this quarter, which was partially offset by higher share-based compensation expenses as well as higher payroll and related expenses mainly due to the effect of exchange rate fluctuations of the U.S. Dollar against the New Israeli Shekel.</w:t>
      </w:r>
    </w:p>
    <w:p>
      <w:pPr>
        <w:spacing w:after="0" w:line="180"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net, in the nine months ended September 26, 2026 decreased by $47 million, or 5%, compared to the nine months ended September 27, 2025. This decrease was mainly due to the recognition of $162 million R&amp;D Law incentive grant during the period, partially offset by an increase in payroll and related expenses mainly due to the effect of exchange rate fluctuations of the U.S. Dollar against the New Israeli Shekel, as well as higher share-based compensation expenses.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360"/>
          </w:cols>
          <w:pgMar w:left="440" w:top="106" w:right="109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-101600</wp:posOffset>
            </wp:positionV>
            <wp:extent cx="7232650" cy="105156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18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in the three months ended September 26, 2026, decreased by $3 million or 10% compared to the three months ended September 27, 2025. Sales and marketing expenses in the nine months ended September 26, 2026, decreased by $3 million or 4% compared to the nine months ended September 27, 2025. The decrease in both periods was mainly due to lower marketing activities and public relations expenses.</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2"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 the three months ended September 26, 2026 increased by $14 million or 74% compared to the three months ended September 27, 2025 due to higher share-based compensation expenses associated primarily with the acquisition of Mentee Robotics.</w:t>
      </w:r>
    </w:p>
    <w:p>
      <w:pPr>
        <w:spacing w:after="0" w:line="176"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 the nine months ended September 26, 2026 increased by $39 million or 70%, compared to the nine months ended September 27, 2025. This increase was due to transaction costs and share-based compensation expenses associated primarily with the acquisition of Mentee Robotics.</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Goodwill Impairment</w:t>
      </w:r>
    </w:p>
    <w:p>
      <w:pPr>
        <w:spacing w:after="0" w:line="18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Goodwill impairment expenses were zero and $3,788 million in the three and nine months ended September 26, 2026, respectively, and zero in the three and nine months ended September 27, 2025. During the first quarter of 2026, the Company performed an interim quantitative goodwill impairment analysis for the “Mobileye” reporting unit, resulting in a non-cash impairment loss. For further details, refer to Note 12 to the Condensed Consolidated Financial Statements included in this report.</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Financial Income (expense), net</w:t>
      </w:r>
    </w:p>
    <w:p>
      <w:pPr>
        <w:spacing w:after="0" w:line="189"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Financial income, net, in the three months ended September 26, 2026 decreased by $3 million or 18% compared to the three months ended September 27, 2025. Financial income, net, in the nine months ended September 26, 2026 decreased by $7 million, or 15%, compared to the nine months ended September 27, 2025. The change in both periods was mainly as a result of a decrease in interest income earned on investments due to cash used for the acquisition of Mentee Robotics in February 2026, which was partially offset by the impact of fluctuations in foreign exchange rates.</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Benefit (Provision) for Income Tax</w:t>
      </w:r>
    </w:p>
    <w:p>
      <w:pPr>
        <w:spacing w:after="0" w:line="202" w:lineRule="exact"/>
        <w:rPr>
          <w:sz w:val="20"/>
          <w:szCs w:val="20"/>
          <w:color w:val="auto"/>
        </w:rPr>
      </w:pPr>
    </w:p>
    <w:p>
      <w:pPr>
        <w:jc w:val="both"/>
        <w:ind w:left="640" w:firstLine="324"/>
        <w:spacing w:after="0" w:line="255" w:lineRule="auto"/>
        <w:rPr>
          <w:sz w:val="20"/>
          <w:szCs w:val="20"/>
          <w:color w:val="auto"/>
        </w:rPr>
      </w:pPr>
      <w:r>
        <w:rPr>
          <w:rFonts w:ascii="Times New Roman" w:cs="Times New Roman" w:eastAsia="Times New Roman" w:hAnsi="Times New Roman"/>
          <w:sz w:val="18"/>
          <w:szCs w:val="18"/>
          <w:color w:val="auto"/>
        </w:rPr>
        <w:t>In the three months ended September 26, 2026 benefit for income tax was $1 million, compared to a provision for income tax of $(4) million in the three months ended September 27, 2025. The decrease of $5 million in tax provision was primarily due to the reduction in deferred tax liability resulting from the goodwill impairment to the Mobileye reporting unit which was recorded in the first quarter of 2026, partially offset by a lower loss before income taxes in foreign jurisdictions. In the nine months ended September 26, 2026, benefit for income tax was $61 million, compared to a provision for income tax of $13 million in the nine months ended September 27, 2025, mainly due to the deferred tax effect of $67 million attributed to goodwill impairment to the Mobileye reporting unit which was recorded in the first quarter of 2026.</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62"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Our primary uses of funds have been for funding increases in headcount in our research and development departments; investments attributable to new product development; the recent acquisition of Mentee Robotics, a humanoid robotics company; the repurchase program authorized by our Board of Directors in April 2026 to repurchase up to $250 million of Mobileye’s outstanding Class A common stock (the “Repurchase Program”), as well as for funding our capital expenditures. Our capital expenditures for purchase of property and equipment have related mainly to data storage and other computer related equipment, expenditure related to research and development projects including data farming and cloud compute, and to leasehold improvements, and were $72 million and $52 million for the nine months ended September 26, 2026 and September 27, 2025, respectively. Cash paid for the acquisition of Mentee Robotics, net of cash acquired, was $591 million.</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360"/>
          </w:cols>
          <w:pgMar w:left="440" w:top="106" w:right="1099"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To fund our cash requirements in the ordinary course of business, we anticipate that we will continue to primarily rely on operating cash flows, supplemented by our total cash and cash equivalents. We expect our total capital expenditures for 2026 to be higher compared to our total capital expenditures in 2025. We continue to invest in equipment related to the development of our next generation products. Our future capital requirements will depend on many factors, including our growth rate and the timing and extent of operating expenses.</w:t>
      </w:r>
    </w:p>
    <w:p>
      <w:pPr>
        <w:spacing w:after="0" w:line="183"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We have lease obligations and other contractual obligations and commitments as part of our ordinary course of business.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following table sets forth certain consolidated statements of cash flow data:</w:t>
      </w:r>
    </w:p>
    <w:p>
      <w:pPr>
        <w:spacing w:after="0" w:line="259"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5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55"/>
        </w:trPr>
        <w:tc>
          <w:tcPr>
            <w:tcW w:w="57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U.S. dollars in millions</w:t>
            </w:r>
          </w:p>
        </w:tc>
        <w:tc>
          <w:tcPr>
            <w:tcW w:w="920" w:type="dxa"/>
            <w:vAlign w:val="bottom"/>
          </w:tcPr>
          <w:p>
            <w:pPr>
              <w:ind w:left="74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300" w:type="dxa"/>
            <w:vAlign w:val="bottom"/>
            <w:tcBorders>
              <w:top w:val="single" w:sz="8" w:color="auto"/>
            </w:tcBorders>
            <w:gridSpan w:val="2"/>
          </w:tcPr>
          <w:p>
            <w:pPr>
              <w:jc w:val="right"/>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20" w:type="dxa"/>
            <w:vAlign w:val="bottom"/>
          </w:tcPr>
          <w:p>
            <w:pPr>
              <w:spacing w:after="0"/>
              <w:rPr>
                <w:sz w:val="13"/>
                <w:szCs w:val="13"/>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20" w:type="dxa"/>
            <w:vAlign w:val="bottom"/>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 w:type="dxa"/>
            <w:vAlign w:val="bottom"/>
          </w:tcPr>
          <w:p>
            <w:pPr>
              <w:spacing w:after="0"/>
              <w:rPr>
                <w:sz w:val="18"/>
                <w:szCs w:val="18"/>
                <w:color w:val="auto"/>
              </w:rPr>
            </w:pPr>
          </w:p>
        </w:tc>
      </w:tr>
      <w:tr>
        <w:trPr>
          <w:trHeight w:val="216"/>
        </w:trPr>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8"/>
                <w:szCs w:val="18"/>
                <w:color w:val="auto"/>
              </w:rPr>
            </w:pPr>
          </w:p>
        </w:tc>
      </w:tr>
      <w:tr>
        <w:trPr>
          <w:trHeight w:val="210"/>
        </w:trPr>
        <w:tc>
          <w:tcPr>
            <w:tcW w:w="5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Increase (decrease) in cash, cash equivalents and restricted cash</w:t>
            </w: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(486)</w:t>
            </w: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331</w:t>
            </w:r>
          </w:p>
        </w:tc>
        <w:tc>
          <w:tcPr>
            <w:tcW w:w="20" w:type="dxa"/>
            <w:vAlign w:val="bottom"/>
          </w:tcPr>
          <w:p>
            <w:pPr>
              <w:spacing w:after="0"/>
              <w:rPr>
                <w:sz w:val="18"/>
                <w:szCs w:val="18"/>
                <w:color w:val="auto"/>
              </w:rPr>
            </w:pPr>
          </w:p>
        </w:tc>
      </w:tr>
      <w:tr>
        <w:trPr>
          <w:trHeight w:val="20"/>
        </w:trPr>
        <w:tc>
          <w:tcPr>
            <w:tcW w:w="5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26, 2026 compared to the nine months ended September 27, 2025, the $186 million decrease in cash provided by operating activities was mainly due to an increase of $3,641 million in net loss, offset by $3,788 million of non-cash goodwill impairment loss, as well as an increase in other long term assets due to a $162 million R&amp;D Law incentive grant recognized, an increase in trade accounts receivable and a lower decrease in inventory, compared to the nine months ended September 27, 2025, due to the increase in sales and the relatively low accounts receivable balance as of the end of 2025.</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 the nine months ended September 26, 2026 and September 27, 2025 was $765 million and $64 million, respectively. The nine months ended September 26, 2026 include $591 million net cash paid for the acquisition of Mentee Robotics. In both periods net cash used in investing activities included capital expenditures and debt investments.</w:t>
      </w:r>
    </w:p>
    <w:p>
      <w:pPr>
        <w:spacing w:after="0" w:line="17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in the nine months ended September 26, 2026 and the nine months ended September 27, 2025 was $33 million and $102 million, respectively, consisting mainly of repurchases of common stock.</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Liability in respect of employee rights upon retirement</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Israeli labor laws and agreements require severance payments upon dismissal of an employee or upon termination of employment in other circumstances. The severance pay liability with respect to Israeli employees is calculated pursuant to the Israeli Severance Pay Law based on the most recent salary of the employees multiplied by the number of years of employment as of the balance sheet date.</w:t>
      </w:r>
    </w:p>
    <w:p>
      <w:pPr>
        <w:spacing w:after="0" w:line="176"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the Israeli Severance Pay Law or labor agreements.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360"/>
          </w:cols>
          <w:pgMar w:left="440" w:top="106" w:right="1099" w:bottom="1440" w:gutter="0" w:footer="0" w:header="0"/>
          <w:type w:val="continuous"/>
        </w:sectPr>
      </w:pPr>
    </w:p>
    <w:bookmarkStart w:id="39" w:name="page40"/>
    <w:bookmarkEnd w:id="3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The majority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consolidated balance sheets.</w:t>
      </w:r>
    </w:p>
    <w:p>
      <w:pPr>
        <w:spacing w:after="0" w:line="129"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Severance pay liability increased from $78 million as of December 27, 2025, to $83 million as of September 26, 2026, mainly due to the impact of fluctuations in foreign exchange rates.</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Lease liabilities</w:t>
      </w:r>
    </w:p>
    <w:p>
      <w:pPr>
        <w:spacing w:after="0" w:line="229"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We have lease agreements for vehicles and offices. We lease office space in various locations in Israel and around the world including Germany and China. All leases are operating leases with fixed payment terms where some of the leases include annual increases to lease payments based on an index or a rate. Lease liabilities, representing the present value of future lease payments, have decreased from $62 million as of December 27, 2025 to $58 million as of September 26, 2026, due to the progress in lease payments for existing arrangements.</w:t>
      </w:r>
    </w:p>
    <w:p>
      <w:pPr>
        <w:spacing w:after="0" w:line="17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229"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We have several bank guarantees aggregating approximately $26 million as of September 26, 2026 (denominated in New Israeli Shekels) mainly in connection with lease agreements and import of vehicles.</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ind w:left="640" w:firstLine="324"/>
        <w:spacing w:after="0" w:line="252" w:lineRule="auto"/>
        <w:rPr>
          <w:sz w:val="20"/>
          <w:szCs w:val="20"/>
          <w:color w:val="auto"/>
        </w:rPr>
      </w:pPr>
      <w:r>
        <w:rPr>
          <w:rFonts w:ascii="Times New Roman" w:cs="Times New Roman" w:eastAsia="Times New Roman" w:hAnsi="Times New Roman"/>
          <w:sz w:val="18"/>
          <w:szCs w:val="18"/>
          <w:color w:val="auto"/>
        </w:rPr>
        <w:t>Our management uses Adjusted Gross Profit (Loss) and Margin, Adjusted Operating Income (Loss) and Margin and Adjusted Net Income (Loss),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condensed consolidated financial statements and related notes included elsewhere in this report.</w:t>
      </w:r>
    </w:p>
    <w:p>
      <w:pPr>
        <w:spacing w:after="0" w:line="197"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We believe excluding items that neither relate to the ordinary course of business nor reflect our underlying business performance, such as the amortization of intangible assets, enables management and our investors to compare our underlying business performance from period-to-period.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360"/>
          </w:cols>
          <w:pgMar w:left="440" w:top="106" w:right="109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firstLine="324"/>
        <w:spacing w:after="0" w:line="252" w:lineRule="auto"/>
        <w:rPr>
          <w:sz w:val="20"/>
          <w:szCs w:val="20"/>
          <w:color w:val="auto"/>
        </w:rPr>
      </w:pPr>
      <w:r>
        <w:rPr>
          <w:rFonts w:ascii="Times New Roman" w:cs="Times New Roman" w:eastAsia="Times New Roman" w:hAnsi="Times New Roman"/>
          <w:sz w:val="18"/>
          <w:szCs w:val="18"/>
          <w:color w:val="auto"/>
        </w:rPr>
        <w:t>Our non-GAAP financial measures reflect adjustments for amortization charges of our acquisition-related intangible assets, share-based compensation expenses, the R&amp;D Law incentive grant related to ordinary income arising from sales of shares received upon settlement of RSUs, acquisition-related expenses, impairment of goodwill and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We believe that the exclusion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expenses from our non-GAAP measures, equity compensation has been, and will continue to be, an important part of our future compensation strategy and a significant component of our future expenses, and may increase in future periods. We believe that the exclusion of goodwill impairment is appropriate because it does not reflect our core operating performance, and excluding such non-cash impairment loss facilitates a useful evaluation of our performance and comparisons to past operating results. We believe that the exclusion of the R&amp;D Law incentive grant related to ordinary income arising from sales of shares received upon settlement of RSUs is consistent with our treatment of share-based compensation expenses in our non-GAAP measures, as it relates to incentives associated with equity-based compensation that are excluded from our non-GAAP results. Acquisition-related expenses include professional fees and other costs incurred in connection with business combinations. We believe exclusion of acquisition-related expenses is appropriate because they are transaction-specific costs and not reflective of our ongoing operating results.</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Adjusted Gross Profit and Margin</w:t>
      </w:r>
    </w:p>
    <w:p>
      <w:pPr>
        <w:spacing w:after="0" w:line="22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We define Adjusted Gross Profit as gross profit presented in accordance with GAAP, excluding amortization of acquisition related intangibles and share-based compensation expenses. Adjusted Gross Margin is calculated as Adjusted Gross Profit divided by total revenue.</w:t>
      </w:r>
    </w:p>
    <w:p>
      <w:pPr>
        <w:spacing w:after="0" w:line="176"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Set forth below is the reconciliation of gross profit to Adjusted Gross Profit and the calculations of Gross Margin and Adjusted Gross Margin:</w:t>
      </w:r>
    </w:p>
    <w:p>
      <w:pPr>
        <w:spacing w:after="0" w:line="196" w:lineRule="exact"/>
        <w:rPr>
          <w:sz w:val="20"/>
          <w:szCs w:val="20"/>
          <w:color w:val="auto"/>
        </w:rPr>
      </w:pPr>
    </w:p>
    <w:tbl>
      <w:tblPr>
        <w:tblLayout w:type="fixed"/>
        <w:tblInd w:w="640" w:type="dxa"/>
        <w:tblCellMar>
          <w:top w:w="0" w:type="dxa"/>
          <w:left w:w="0" w:type="dxa"/>
          <w:bottom w:w="0" w:type="dxa"/>
          <w:right w:w="0" w:type="dxa"/>
        </w:tblCellMar>
      </w:tblPr>
      <w:tr>
        <w:trPr>
          <w:trHeight w:val="173"/>
        </w:trPr>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4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U.S. dollars in millions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4"/>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100" w:type="dxa"/>
            <w:vAlign w:val="bottom"/>
          </w:tcPr>
          <w:p>
            <w:pPr>
              <w:spacing w:after="0"/>
              <w:rPr>
                <w:sz w:val="13"/>
                <w:szCs w:val="13"/>
                <w:color w:val="auto"/>
              </w:rPr>
            </w:pPr>
          </w:p>
        </w:tc>
        <w:tc>
          <w:tcPr>
            <w:tcW w:w="140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26, 2026</w:t>
            </w:r>
          </w:p>
        </w:tc>
        <w:tc>
          <w:tcPr>
            <w:tcW w:w="120" w:type="dxa"/>
            <w:vAlign w:val="bottom"/>
          </w:tcPr>
          <w:p>
            <w:pPr>
              <w:spacing w:after="0"/>
              <w:rPr>
                <w:sz w:val="13"/>
                <w:szCs w:val="13"/>
                <w:color w:val="auto"/>
              </w:rPr>
            </w:pPr>
          </w:p>
        </w:tc>
        <w:tc>
          <w:tcPr>
            <w:tcW w:w="138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September 27, 2025</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00" w:type="dxa"/>
            <w:vAlign w:val="bottom"/>
            <w:vMerge w:val="continue"/>
          </w:tcPr>
          <w:p>
            <w:pPr>
              <w:spacing w:after="0"/>
              <w:rPr>
                <w:sz w:val="13"/>
                <w:szCs w:val="13"/>
                <w:color w:val="auto"/>
              </w:rPr>
            </w:pPr>
          </w:p>
        </w:tc>
        <w:tc>
          <w:tcPr>
            <w:tcW w:w="120" w:type="dxa"/>
            <w:vAlign w:val="bottom"/>
          </w:tcPr>
          <w:p>
            <w:pPr>
              <w:ind w:left="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540" w:type="dxa"/>
            <w:vAlign w:val="bottom"/>
            <w:tcBorders>
              <w:top w:val="single" w:sz="8" w:color="auto"/>
            </w:tcBorders>
            <w:gridSpan w:val="3"/>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of Revenue</w:t>
            </w:r>
          </w:p>
        </w:tc>
        <w:tc>
          <w:tcPr>
            <w:tcW w:w="30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gridSpan w:val="4"/>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of Revenue</w:t>
            </w:r>
          </w:p>
        </w:tc>
        <w:tc>
          <w:tcPr>
            <w:tcW w:w="220" w:type="dxa"/>
            <w:vAlign w:val="bottom"/>
          </w:tcPr>
          <w:p>
            <w:pPr>
              <w:ind w:left="60"/>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5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top w:val="single" w:sz="8" w:color="auto"/>
            </w:tcBorders>
            <w:gridSpan w:val="2"/>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of Revenue</w:t>
            </w:r>
          </w:p>
        </w:tc>
        <w:tc>
          <w:tcPr>
            <w:tcW w:w="260" w:type="dxa"/>
            <w:vAlign w:val="bottom"/>
          </w:tcPr>
          <w:p>
            <w:pPr>
              <w:ind w:left="80"/>
              <w:spacing w:after="0" w:line="155"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4"/>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 xml:space="preserve">Amount </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of Revenue</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4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Gross Profit and Margin</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261</w:t>
            </w:r>
          </w:p>
        </w:tc>
        <w:tc>
          <w:tcPr>
            <w:tcW w:w="16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680"/>
              <w:spacing w:after="0" w:line="155" w:lineRule="exact"/>
              <w:rPr>
                <w:sz w:val="20"/>
                <w:szCs w:val="20"/>
                <w:color w:val="auto"/>
              </w:rPr>
            </w:pPr>
            <w:r>
              <w:rPr>
                <w:rFonts w:ascii="Times New Roman" w:cs="Times New Roman" w:eastAsia="Times New Roman" w:hAnsi="Times New Roman"/>
                <w:sz w:val="14"/>
                <w:szCs w:val="14"/>
                <w:color w:val="auto"/>
              </w:rPr>
              <w:t>53</w:t>
            </w:r>
          </w:p>
        </w:tc>
        <w:tc>
          <w:tcPr>
            <w:tcW w:w="30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243</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ind w:left="520"/>
              <w:spacing w:after="0" w:line="155" w:lineRule="exact"/>
              <w:rPr>
                <w:sz w:val="20"/>
                <w:szCs w:val="20"/>
                <w:color w:val="auto"/>
              </w:rPr>
            </w:pPr>
            <w:r>
              <w:rPr>
                <w:rFonts w:ascii="Times New Roman" w:cs="Times New Roman" w:eastAsia="Times New Roman" w:hAnsi="Times New Roman"/>
                <w:sz w:val="14"/>
                <w:szCs w:val="14"/>
                <w:color w:val="auto"/>
              </w:rPr>
              <w:t>48</w:t>
            </w:r>
          </w:p>
        </w:tc>
        <w:tc>
          <w:tcPr>
            <w:tcW w:w="22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771</w:t>
            </w:r>
          </w:p>
        </w:tc>
        <w:tc>
          <w:tcPr>
            <w:tcW w:w="14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ind w:left="660"/>
              <w:spacing w:after="0" w:line="155" w:lineRule="exact"/>
              <w:rPr>
                <w:sz w:val="20"/>
                <w:szCs w:val="20"/>
                <w:color w:val="auto"/>
              </w:rPr>
            </w:pPr>
            <w:r>
              <w:rPr>
                <w:rFonts w:ascii="Times New Roman" w:cs="Times New Roman" w:eastAsia="Times New Roman" w:hAnsi="Times New Roman"/>
                <w:sz w:val="14"/>
                <w:szCs w:val="14"/>
                <w:color w:val="auto"/>
              </w:rPr>
              <w:t>49</w:t>
            </w:r>
          </w:p>
        </w:tc>
        <w:tc>
          <w:tcPr>
            <w:tcW w:w="26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702</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ind w:left="520"/>
              <w:spacing w:after="0" w:line="155" w:lineRule="exact"/>
              <w:rPr>
                <w:sz w:val="20"/>
                <w:szCs w:val="20"/>
                <w:color w:val="auto"/>
              </w:rPr>
            </w:pPr>
            <w:r>
              <w:rPr>
                <w:rFonts w:ascii="Times New Roman" w:cs="Times New Roman" w:eastAsia="Times New Roman" w:hAnsi="Times New Roman"/>
                <w:sz w:val="14"/>
                <w:szCs w:val="14"/>
                <w:color w:val="auto"/>
              </w:rPr>
              <w:t>48</w:t>
            </w:r>
          </w:p>
        </w:tc>
        <w:tc>
          <w:tcPr>
            <w:tcW w:w="180" w:type="dxa"/>
            <w:vAlign w:val="bottom"/>
            <w:tcBorders>
              <w:top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6"/>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Add: Amortization of acquired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60" w:type="dxa"/>
            <w:vAlign w:val="bottom"/>
          </w:tcPr>
          <w:p>
            <w:pPr>
              <w:spacing w:after="0"/>
              <w:rPr>
                <w:sz w:val="14"/>
                <w:szCs w:val="14"/>
                <w:color w:val="auto"/>
              </w:rPr>
            </w:pPr>
          </w:p>
        </w:tc>
        <w:tc>
          <w:tcPr>
            <w:tcW w:w="11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19 %</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260" w:type="dxa"/>
            <w:vAlign w:val="bottom"/>
            <w:gridSpan w:val="3"/>
            <w:vMerge w:val="restart"/>
          </w:tcPr>
          <w:p>
            <w:pPr>
              <w:ind w:left="800"/>
              <w:spacing w:after="0"/>
              <w:rPr>
                <w:sz w:val="20"/>
                <w:szCs w:val="20"/>
                <w:color w:val="auto"/>
              </w:rPr>
            </w:pPr>
            <w:r>
              <w:rPr>
                <w:rFonts w:ascii="Times New Roman" w:cs="Times New Roman" w:eastAsia="Times New Roman" w:hAnsi="Times New Roman"/>
                <w:sz w:val="14"/>
                <w:szCs w:val="14"/>
                <w:color w:val="auto"/>
              </w:rPr>
              <w:t>16 %</w:t>
            </w:r>
          </w:p>
        </w:tc>
        <w:tc>
          <w:tcPr>
            <w:tcW w:w="12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71"/>
        </w:trPr>
        <w:tc>
          <w:tcPr>
            <w:tcW w:w="2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Add: Share-based compensation expense</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 %</w:t>
            </w:r>
          </w:p>
        </w:tc>
        <w:tc>
          <w:tcPr>
            <w:tcW w:w="100" w:type="dxa"/>
            <w:vAlign w:val="bottom"/>
            <w:shd w:val="clear" w:color="auto" w:fill="CCEEFF"/>
          </w:tcPr>
          <w:p>
            <w:pPr>
              <w:spacing w:after="0"/>
              <w:rPr>
                <w:sz w:val="24"/>
                <w:szCs w:val="24"/>
                <w:color w:val="auto"/>
              </w:rPr>
            </w:pPr>
          </w:p>
        </w:tc>
        <w:tc>
          <w:tcPr>
            <w:tcW w:w="6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 %</w:t>
            </w:r>
          </w:p>
        </w:tc>
        <w:tc>
          <w:tcPr>
            <w:tcW w:w="0" w:type="dxa"/>
            <w:vAlign w:val="bottom"/>
          </w:tcPr>
          <w:p>
            <w:pPr>
              <w:spacing w:after="0"/>
              <w:rPr>
                <w:sz w:val="1"/>
                <w:szCs w:val="1"/>
                <w:color w:val="auto"/>
              </w:rPr>
            </w:pPr>
          </w:p>
        </w:tc>
      </w:tr>
      <w:tr>
        <w:trPr>
          <w:trHeight w:val="156"/>
        </w:trPr>
        <w:tc>
          <w:tcPr>
            <w:tcW w:w="24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Adjusted Gross Profit and Margin</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314</w:t>
            </w:r>
          </w:p>
        </w:tc>
        <w:tc>
          <w:tcPr>
            <w:tcW w:w="160" w:type="dxa"/>
            <w:vAlign w:val="bottom"/>
          </w:tcPr>
          <w:p>
            <w:pPr>
              <w:spacing w:after="0"/>
              <w:rPr>
                <w:sz w:val="13"/>
                <w:szCs w:val="13"/>
                <w:color w:val="auto"/>
              </w:rPr>
            </w:pPr>
          </w:p>
        </w:tc>
        <w:tc>
          <w:tcPr>
            <w:tcW w:w="860" w:type="dxa"/>
            <w:vAlign w:val="bottom"/>
            <w:tcBorders>
              <w:top w:val="single" w:sz="8" w:color="auto"/>
              <w:bottom w:val="single" w:sz="8" w:color="auto"/>
            </w:tcBorders>
          </w:tcPr>
          <w:p>
            <w:pPr>
              <w:ind w:left="680"/>
              <w:spacing w:after="0" w:line="155" w:lineRule="exact"/>
              <w:rPr>
                <w:sz w:val="20"/>
                <w:szCs w:val="20"/>
                <w:color w:val="auto"/>
              </w:rPr>
            </w:pPr>
            <w:r>
              <w:rPr>
                <w:rFonts w:ascii="Times New Roman" w:cs="Times New Roman" w:eastAsia="Times New Roman" w:hAnsi="Times New Roman"/>
                <w:sz w:val="14"/>
                <w:szCs w:val="14"/>
                <w:b w:val="1"/>
                <w:bCs w:val="1"/>
                <w:color w:val="auto"/>
              </w:rPr>
              <w:t>64</w:t>
            </w:r>
          </w:p>
        </w:tc>
        <w:tc>
          <w:tcPr>
            <w:tcW w:w="30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337</w:t>
            </w: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67</w:t>
            </w:r>
          </w:p>
        </w:tc>
        <w:tc>
          <w:tcPr>
            <w:tcW w:w="22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1,017</w:t>
            </w:r>
          </w:p>
        </w:tc>
        <w:tc>
          <w:tcPr>
            <w:tcW w:w="140" w:type="dxa"/>
            <w:vAlign w:val="bottom"/>
          </w:tcPr>
          <w:p>
            <w:pPr>
              <w:spacing w:after="0"/>
              <w:rPr>
                <w:sz w:val="13"/>
                <w:szCs w:val="13"/>
                <w:color w:val="auto"/>
              </w:rPr>
            </w:pPr>
          </w:p>
        </w:tc>
        <w:tc>
          <w:tcPr>
            <w:tcW w:w="860" w:type="dxa"/>
            <w:vAlign w:val="bottom"/>
            <w:tcBorders>
              <w:top w:val="single" w:sz="8" w:color="auto"/>
              <w:bottom w:val="single" w:sz="8" w:color="auto"/>
            </w:tcBorders>
          </w:tcPr>
          <w:p>
            <w:pPr>
              <w:ind w:left="660"/>
              <w:spacing w:after="0" w:line="155" w:lineRule="exact"/>
              <w:rPr>
                <w:sz w:val="20"/>
                <w:szCs w:val="20"/>
                <w:color w:val="auto"/>
              </w:rPr>
            </w:pPr>
            <w:r>
              <w:rPr>
                <w:rFonts w:ascii="Times New Roman" w:cs="Times New Roman" w:eastAsia="Times New Roman" w:hAnsi="Times New Roman"/>
                <w:sz w:val="14"/>
                <w:szCs w:val="14"/>
                <w:b w:val="1"/>
                <w:bCs w:val="1"/>
                <w:color w:val="auto"/>
              </w:rPr>
              <w:t>65</w:t>
            </w:r>
          </w:p>
        </w:tc>
        <w:tc>
          <w:tcPr>
            <w:tcW w:w="2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bottom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985</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ind w:left="520"/>
              <w:spacing w:after="0" w:line="155" w:lineRule="exact"/>
              <w:rPr>
                <w:sz w:val="20"/>
                <w:szCs w:val="20"/>
                <w:color w:val="auto"/>
              </w:rPr>
            </w:pPr>
            <w:r>
              <w:rPr>
                <w:rFonts w:ascii="Times New Roman" w:cs="Times New Roman" w:eastAsia="Times New Roman" w:hAnsi="Times New Roman"/>
                <w:sz w:val="14"/>
                <w:szCs w:val="14"/>
                <w:b w:val="1"/>
                <w:bCs w:val="1"/>
                <w:color w:val="auto"/>
              </w:rPr>
              <w:t>68</w:t>
            </w:r>
          </w:p>
        </w:tc>
        <w:tc>
          <w:tcPr>
            <w:tcW w:w="1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40" w:firstLine="324"/>
        <w:spacing w:after="0" w:line="233" w:lineRule="auto"/>
        <w:rPr>
          <w:sz w:val="20"/>
          <w:szCs w:val="20"/>
          <w:color w:val="auto"/>
        </w:rPr>
      </w:pPr>
      <w:r>
        <w:rPr>
          <w:rFonts w:ascii="Times New Roman" w:cs="Times New Roman" w:eastAsia="Times New Roman" w:hAnsi="Times New Roman"/>
          <w:sz w:val="18"/>
          <w:szCs w:val="18"/>
          <w:color w:val="auto"/>
        </w:rPr>
        <w:t>Our Gross Margin (gross profit as a percentage of revenue) and Adjusted Gross Margin (Adjusted Gross Profit as a percentage of revenue) reflect the high value-added nature of our solutions. As we develop and sell full systems that include hardware beyond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SoCs, we expect that our Gross Margin and Adjusted Gross Margin will decrease over time because of the greater hardware content included in our solutions. However, as a result of a higher expected selling price for such systems, we expect our gross profit per unit will increase on a dollar basis.</w:t>
      </w:r>
    </w:p>
    <w:p>
      <w:pPr>
        <w:spacing w:after="0" w:line="202" w:lineRule="exact"/>
        <w:rPr>
          <w:sz w:val="20"/>
          <w:szCs w:val="20"/>
          <w:color w:val="auto"/>
        </w:rPr>
      </w:pPr>
    </w:p>
    <w:p>
      <w:pPr>
        <w:jc w:val="both"/>
        <w:ind w:left="640" w:firstLine="324"/>
        <w:spacing w:after="0" w:line="230" w:lineRule="auto"/>
        <w:rPr>
          <w:sz w:val="20"/>
          <w:szCs w:val="20"/>
          <w:color w:val="auto"/>
        </w:rPr>
      </w:pPr>
      <w:r>
        <w:rPr>
          <w:rFonts w:ascii="Times New Roman" w:cs="Times New Roman" w:eastAsia="Times New Roman" w:hAnsi="Times New Roman"/>
          <w:sz w:val="18"/>
          <w:szCs w:val="18"/>
          <w:color w:val="auto"/>
        </w:rPr>
        <w:t>Our Adjusted Gross Margin decreased from 67% and 68% in the three and nine months ended September 27, 2025 to 64% and 65% in the three and nine months ended September 26, 2026. The decrease in both periods was primarily due to a reduction in EyeQ</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ASP, mainly attributable to higher volume sold to Chinese OEMs, which carry lower ASP in addition to a higher EyeQ™-related cost per unit given the different generation mix of EyeQ™ products sold.</w:t>
      </w:r>
    </w:p>
    <w:p>
      <w:pPr>
        <w:spacing w:after="0" w:line="19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(Loss) and Margin</w:t>
      </w:r>
    </w:p>
    <w:p>
      <w:pPr>
        <w:spacing w:after="0" w:line="229"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We define Adjusted Operating Income (Loss) as operating income (loss) presented in accordance with GAAP, adjusted to exclude amortization of acquisition related intangibles, share-based compensation expenses, the R&amp;D Law incentive grant related to ordinary income arising from sales of shares received from the settlement of RSUs, acquisition-related expenses and impairment of goodwill. Operating Margin is calculated as operating income (loss) divided by total revenue, and Adjusted Operating Margin is calculated as Adjusted Operating Income (Loss) divided by total revenue.</w:t>
      </w:r>
    </w:p>
    <w:p>
      <w:pPr>
        <w:sectPr>
          <w:pgSz w:w="11900" w:h="16838" w:orient="portrait"/>
          <w:cols w:equalWidth="0" w:num="1">
            <w:col w:w="10360"/>
          </w:cols>
          <w:pgMar w:left="440" w:top="106" w:right="1099" w:bottom="1440" w:gutter="0" w:footer="0" w:header="0"/>
        </w:sectPr>
      </w:pPr>
    </w:p>
    <w:p>
      <w:pPr>
        <w:spacing w:after="0" w:line="31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360"/>
          </w:cols>
          <w:pgMar w:left="440" w:top="106" w:right="1099"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Set forth below is the reconciliation of operating income (loss) to Adjusted Operating Income (Loss) and the calculations of</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Operating Margin and Adjusted Operating Margin:</w:t>
      </w:r>
    </w:p>
    <w:p>
      <w:pPr>
        <w:spacing w:after="0" w:line="235"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860" w:type="dxa"/>
            <w:vAlign w:val="bottom"/>
          </w:tcPr>
          <w:p>
            <w:pPr>
              <w:spacing w:after="0"/>
              <w:rPr>
                <w:sz w:val="14"/>
                <w:szCs w:val="14"/>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ind w:left="30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7"/>
          </w:tcPr>
          <w:p>
            <w:pPr>
              <w:ind w:left="20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4"/>
          </w:tcPr>
          <w:p>
            <w:pPr>
              <w:jc w:val="right"/>
              <w:ind w:right="133"/>
              <w:spacing w:after="0" w:line="142" w:lineRule="exact"/>
              <w:rPr>
                <w:sz w:val="20"/>
                <w:szCs w:val="20"/>
                <w:color w:val="auto"/>
              </w:rPr>
            </w:pPr>
            <w:r>
              <w:rPr>
                <w:rFonts w:ascii="Times New Roman" w:cs="Times New Roman" w:eastAsia="Times New Roman" w:hAnsi="Times New Roman"/>
                <w:sz w:val="13"/>
                <w:szCs w:val="13"/>
                <w:b w:val="1"/>
                <w:bCs w:val="1"/>
                <w:color w:val="auto"/>
              </w:rPr>
              <w:t>September 26, 2026</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4"/>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September 27, 2025</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gridSpan w:val="4"/>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September 26, 2026</w:t>
            </w:r>
          </w:p>
        </w:tc>
        <w:tc>
          <w:tcPr>
            <w:tcW w:w="22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360" w:type="dxa"/>
            <w:vAlign w:val="bottom"/>
            <w:tcBorders>
              <w:top w:val="single" w:sz="8" w:color="auto"/>
              <w:bottom w:val="single" w:sz="8" w:color="auto"/>
            </w:tcBorders>
            <w:gridSpan w:val="4"/>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September 27, 2025</w:t>
            </w:r>
          </w:p>
        </w:tc>
        <w:tc>
          <w:tcPr>
            <w:tcW w:w="140" w:type="dxa"/>
            <w:vAlign w:val="bottom"/>
          </w:tcPr>
          <w:p>
            <w:pPr>
              <w:spacing w:after="0"/>
              <w:rPr>
                <w:sz w:val="12"/>
                <w:szCs w:val="12"/>
                <w:color w:val="auto"/>
              </w:rPr>
            </w:pPr>
          </w:p>
        </w:tc>
      </w:tr>
      <w:tr>
        <w:trPr>
          <w:trHeight w:val="142"/>
        </w:trPr>
        <w:tc>
          <w:tcPr>
            <w:tcW w:w="28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U.S. dollars in millions</w:t>
            </w:r>
          </w:p>
        </w:tc>
        <w:tc>
          <w:tcPr>
            <w:tcW w:w="72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 Amount</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9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5"/>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Amount  ​​%​</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of Revenue</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gridSpan w:val="5"/>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Amount  ​​%​</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of Revenue</w:t>
            </w:r>
          </w:p>
        </w:tc>
        <w:tc>
          <w:tcPr>
            <w:tcW w:w="140" w:type="dxa"/>
            <w:vAlign w:val="bottom"/>
          </w:tcPr>
          <w:p>
            <w:pPr>
              <w:spacing w:after="0"/>
              <w:rPr>
                <w:sz w:val="12"/>
                <w:szCs w:val="12"/>
                <w:color w:val="auto"/>
              </w:rPr>
            </w:pPr>
          </w:p>
        </w:tc>
      </w:tr>
      <w:tr>
        <w:trPr>
          <w:trHeight w:val="142"/>
        </w:trPr>
        <w:tc>
          <w:tcPr>
            <w:tcW w:w="2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Operating Income (Loss) and Operating Margin</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(82)</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tcBorders>
              <w:top w:val="single" w:sz="8" w:color="CCEEFF"/>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(109)</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(22)</w:t>
            </w:r>
          </w:p>
        </w:tc>
        <w:tc>
          <w:tcPr>
            <w:tcW w:w="16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(4,008)</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(257)</w:t>
            </w:r>
          </w:p>
        </w:tc>
        <w:tc>
          <w:tcPr>
            <w:tcW w:w="220" w:type="dxa"/>
            <w:vAlign w:val="bottom"/>
            <w:tcBorders>
              <w:top w:val="single" w:sz="8" w:color="CCEEFF"/>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(300)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r>
      <w:tr>
        <w:trPr>
          <w:trHeight w:val="149"/>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Add: Amortization of acquired intangible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20" w:type="dxa"/>
            <w:vAlign w:val="bottom"/>
          </w:tcPr>
          <w:p>
            <w:pPr>
              <w:spacing w:after="0"/>
              <w:rPr>
                <w:sz w:val="12"/>
                <w:szCs w:val="12"/>
                <w:color w:val="auto"/>
              </w:rPr>
            </w:pPr>
          </w:p>
        </w:tc>
        <w:tc>
          <w:tcPr>
            <w:tcW w:w="1120" w:type="dxa"/>
            <w:vAlign w:val="bottom"/>
            <w:gridSpan w:val="3"/>
          </w:tcPr>
          <w:p>
            <w:pPr>
              <w:jc w:val="right"/>
              <w:ind w:right="13"/>
              <w:spacing w:after="0"/>
              <w:rPr>
                <w:sz w:val="20"/>
                <w:szCs w:val="20"/>
                <w:color w:val="auto"/>
              </w:rPr>
            </w:pPr>
            <w:r>
              <w:rPr>
                <w:rFonts w:ascii="Times New Roman" w:cs="Times New Roman" w:eastAsia="Times New Roman" w:hAnsi="Times New Roman"/>
                <w:sz w:val="13"/>
                <w:szCs w:val="13"/>
                <w:color w:val="auto"/>
              </w:rPr>
              <w:t>14 %</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40" w:type="dxa"/>
            <w:vAlign w:val="bottom"/>
          </w:tcPr>
          <w:p>
            <w:pPr>
              <w:spacing w:after="0"/>
              <w:rPr>
                <w:sz w:val="12"/>
                <w:szCs w:val="12"/>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22 %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19 %</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48"/>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 Share-based compensation expense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21 %</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4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18 %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49"/>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Less: R&amp;D Law incentive grant related to ordinary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9"/>
        </w:trPr>
        <w:tc>
          <w:tcPr>
            <w:tcW w:w="2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arising from sales of shares received from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61"/>
        </w:trPr>
        <w:tc>
          <w:tcPr>
            <w:tcW w:w="2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the settlement of RSUs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4"/>
                <w:szCs w:val="14"/>
                <w:color w:val="auto"/>
              </w:rPr>
            </w:pPr>
          </w:p>
        </w:tc>
        <w:tc>
          <w:tcPr>
            <w:tcW w:w="88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4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 Acquisition related expenses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 %</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2"/>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Add: Goodwill impairment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3,788</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243 %</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42"/>
        </w:trPr>
        <w:tc>
          <w:tcPr>
            <w:tcW w:w="2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Adjusted Operating Income (Loss) and Margin</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89</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18</w:t>
            </w:r>
          </w:p>
        </w:tc>
        <w:tc>
          <w:tcPr>
            <w:tcW w:w="20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w:t>
            </w:r>
          </w:p>
        </w:tc>
        <w:tc>
          <w:tcPr>
            <w:tcW w:w="280" w:type="dxa"/>
            <w:vAlign w:val="bottom"/>
            <w:tcBorders>
              <w:top w:val="single" w:sz="8" w:color="CCEEFF"/>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w:t>
            </w:r>
          </w:p>
        </w:tc>
        <w:tc>
          <w:tcPr>
            <w:tcW w:w="4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339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w:t>
            </w:r>
          </w:p>
        </w:tc>
        <w:tc>
          <w:tcPr>
            <w:tcW w:w="2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w:t>
            </w:r>
          </w:p>
        </w:tc>
        <w:tc>
          <w:tcPr>
            <w:tcW w:w="6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239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Our Operating Loss decreased from $109 million in the three months ended September 27, 2025 to $82 million in three months ended September 26, 2026, mainly due to a decrease in operating expenses attributed to a $52 million R&amp;D Law incentive grant recognized this quarter, in addition to a decrease of $42 million in amortization of intangible assets, partially offset by higher share-based compensation expenses.</w:t>
      </w:r>
    </w:p>
    <w:p>
      <w:pPr>
        <w:spacing w:after="0" w:line="180"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Our Operating Loss increased from $300 million in the nine months ended September 27, 2025 to $4,008 million in the nine months ended September 26, 2026, mainly due to a goodwill impairment loss recognized in the first quarter of 2026.</w:t>
      </w:r>
    </w:p>
    <w:p>
      <w:pPr>
        <w:spacing w:after="0" w:line="162"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Our Adjusted Operating Income increased by $15 million in the three months ended September 26, 2026 compared to the three months ended September 27, 2025, mainly due to a decrease in operating expenses attributed to a $51 million R&amp;D Law incentive grant recognized this quarter, partially offset by a decrease in Adjusted Gross Profit.</w:t>
      </w:r>
    </w:p>
    <w:p>
      <w:pPr>
        <w:spacing w:after="0" w:line="176"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Our Adjusted Operating Income increased by $100 million in the nine months ended September 26, 2026 compared to the nine months ended September 27, 2025, mainly due to higher Adjusted Gross Profit and lower operating expenses attributed to a R&amp;D Law incentive grant recognized in 2026.</w:t>
      </w:r>
    </w:p>
    <w:p>
      <w:pPr>
        <w:spacing w:after="0" w:line="176"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Our Adjusted Operating Margin increased from 15% for the three months ended September 27, 2025 to 18% for the three months ended September 26, 2026. Our Adjusted Operating Margin increased from 17% for the nine months ended September 27, 2025 to 22% for the nine months ended September 26, 2026. The increase in both periods was mainly due to a lower operating expenses as a percentage of revenue, partially offset by lower Adjusted Gross Margin.</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229"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We define Adjusted Net Income (Loss) as net income (loss) presented in accordance with GAAP, adjusted to exclude amortization of acquisition related intangibles, share-based compensation expenses, the R&amp;D Law incentive grant related to ordinary income arising from sales of shares received from the settlement of RSUs, acquisition-related expenses, impairment of goodwill and the related income tax effects. Income tax effects have been calculated using the applicable statutory tax rate for each adjustment taking into consideration the associated valuation allowance impacts. The adjustment for income tax effects consist primarily of the deferred tax impact of the amortization of acquired intangible assets and impairment of goodwill.</w:t>
      </w:r>
    </w:p>
    <w:p>
      <w:pPr>
        <w:spacing w:after="0" w:line="18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Set forth below is the reconciliation of net income (loss) to Adjusted Net Income (Loss):</w:t>
      </w:r>
    </w:p>
    <w:p>
      <w:pPr>
        <w:spacing w:after="0" w:line="200" w:lineRule="exact"/>
        <w:rPr>
          <w:sz w:val="20"/>
          <w:szCs w:val="20"/>
          <w:color w:val="auto"/>
        </w:rPr>
      </w:pPr>
    </w:p>
    <w:tbl>
      <w:tblPr>
        <w:tblLayout w:type="fixed"/>
        <w:tblInd w:w="640" w:type="dxa"/>
        <w:tblCellMar>
          <w:top w:w="0" w:type="dxa"/>
          <w:left w:w="0" w:type="dxa"/>
          <w:bottom w:w="0" w:type="dxa"/>
          <w:right w:w="0" w:type="dxa"/>
        </w:tblCellMar>
      </w:tblPr>
      <w:tr>
        <w:trPr>
          <w:trHeight w:val="165"/>
        </w:trPr>
        <w:tc>
          <w:tcPr>
            <w:tcW w:w="2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Three Months Ended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3"/>
                <w:szCs w:val="13"/>
                <w:b w:val="1"/>
                <w:bCs w:val="1"/>
                <w:color w:val="auto"/>
              </w:rPr>
              <w:t>Nine Months Ended</w:t>
            </w: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42"/>
        </w:trPr>
        <w:tc>
          <w:tcPr>
            <w:tcW w:w="2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September 26, 2026</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113"/>
              <w:spacing w:after="0" w:line="142" w:lineRule="exact"/>
              <w:rPr>
                <w:sz w:val="20"/>
                <w:szCs w:val="20"/>
                <w:color w:val="auto"/>
              </w:rPr>
            </w:pPr>
            <w:r>
              <w:rPr>
                <w:rFonts w:ascii="Times New Roman" w:cs="Times New Roman" w:eastAsia="Times New Roman" w:hAnsi="Times New Roman"/>
                <w:sz w:val="13"/>
                <w:szCs w:val="13"/>
                <w:b w:val="1"/>
                <w:bCs w:val="1"/>
                <w:color w:val="auto"/>
              </w:rPr>
              <w:t>September 27, 2025</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jc w:val="right"/>
              <w:ind w:right="313"/>
              <w:spacing w:after="0" w:line="142" w:lineRule="exact"/>
              <w:rPr>
                <w:sz w:val="20"/>
                <w:szCs w:val="20"/>
                <w:color w:val="auto"/>
              </w:rPr>
            </w:pPr>
            <w:r>
              <w:rPr>
                <w:rFonts w:ascii="Times New Roman" w:cs="Times New Roman" w:eastAsia="Times New Roman" w:hAnsi="Times New Roman"/>
                <w:sz w:val="13"/>
                <w:szCs w:val="13"/>
                <w:b w:val="1"/>
                <w:bCs w:val="1"/>
                <w:color w:val="auto"/>
              </w:rPr>
              <w:t>September 26, 2026</w:t>
            </w:r>
          </w:p>
        </w:tc>
        <w:tc>
          <w:tcPr>
            <w:tcW w:w="1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4"/>
          </w:tcPr>
          <w:p>
            <w:pPr>
              <w:jc w:val="right"/>
              <w:ind w:right="93"/>
              <w:spacing w:after="0" w:line="142" w:lineRule="exact"/>
              <w:rPr>
                <w:sz w:val="20"/>
                <w:szCs w:val="20"/>
                <w:color w:val="auto"/>
              </w:rPr>
            </w:pPr>
            <w:r>
              <w:rPr>
                <w:rFonts w:ascii="Times New Roman" w:cs="Times New Roman" w:eastAsia="Times New Roman" w:hAnsi="Times New Roman"/>
                <w:sz w:val="13"/>
                <w:szCs w:val="13"/>
                <w:b w:val="1"/>
                <w:bCs w:val="1"/>
                <w:color w:val="auto"/>
              </w:rPr>
              <w:t>September 27, 2025</w:t>
            </w:r>
          </w:p>
        </w:tc>
        <w:tc>
          <w:tcPr>
            <w:tcW w:w="180" w:type="dxa"/>
            <w:vAlign w:val="bottom"/>
          </w:tcPr>
          <w:p>
            <w:pPr>
              <w:spacing w:after="0"/>
              <w:rPr>
                <w:sz w:val="12"/>
                <w:szCs w:val="12"/>
                <w:color w:val="auto"/>
              </w:rPr>
            </w:pPr>
          </w:p>
        </w:tc>
      </w:tr>
      <w:tr>
        <w:trPr>
          <w:trHeight w:val="142"/>
        </w:trPr>
        <w:tc>
          <w:tcPr>
            <w:tcW w:w="28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U.S. dollars in millions</w:t>
            </w:r>
          </w:p>
        </w:tc>
        <w:tc>
          <w:tcPr>
            <w:tcW w:w="960" w:type="dxa"/>
            <w:vAlign w:val="bottom"/>
            <w:gridSpan w:val="5"/>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 Amount  ​​%​</w:t>
            </w: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of Revenue</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gridSpan w:val="3"/>
          </w:tcPr>
          <w:p>
            <w:pPr>
              <w:jc w:val="right"/>
              <w:ind w:right="60"/>
              <w:spacing w:after="0" w:line="142" w:lineRule="exact"/>
              <w:rPr>
                <w:sz w:val="20"/>
                <w:szCs w:val="20"/>
                <w:color w:val="auto"/>
              </w:rPr>
            </w:pPr>
            <w:r>
              <w:rPr>
                <w:rFonts w:ascii="Times New Roman" w:cs="Times New Roman" w:eastAsia="Times New Roman" w:hAnsi="Times New Roman"/>
                <w:sz w:val="13"/>
                <w:szCs w:val="13"/>
                <w:b w:val="1"/>
                <w:bCs w:val="1"/>
                <w:color w:val="auto"/>
              </w:rPr>
              <w:t>Amount</w:t>
            </w:r>
          </w:p>
        </w:tc>
        <w:tc>
          <w:tcPr>
            <w:tcW w:w="9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 of Revenue</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4"/>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Amount  ​​%​</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of Revenue ​​​</w:t>
            </w:r>
          </w:p>
        </w:tc>
        <w:tc>
          <w:tcPr>
            <w:tcW w:w="840" w:type="dxa"/>
            <w:vAlign w:val="bottom"/>
            <w:gridSpan w:val="4"/>
          </w:tcPr>
          <w:p>
            <w:pPr>
              <w:ind w:left="40"/>
              <w:spacing w:after="0" w:line="142" w:lineRule="exact"/>
              <w:rPr>
                <w:sz w:val="20"/>
                <w:szCs w:val="20"/>
                <w:color w:val="auto"/>
              </w:rPr>
            </w:pPr>
            <w:r>
              <w:rPr>
                <w:rFonts w:ascii="Times New Roman" w:cs="Times New Roman" w:eastAsia="Times New Roman" w:hAnsi="Times New Roman"/>
                <w:sz w:val="13"/>
                <w:szCs w:val="13"/>
                <w:b w:val="1"/>
                <w:bCs w:val="1"/>
                <w:color w:val="auto"/>
              </w:rPr>
              <w:t>Amount  ​​%​</w:t>
            </w:r>
          </w:p>
        </w:tc>
        <w:tc>
          <w:tcPr>
            <w:tcW w:w="64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of Revenue</w:t>
            </w:r>
          </w:p>
        </w:tc>
        <w:tc>
          <w:tcPr>
            <w:tcW w:w="180" w:type="dxa"/>
            <w:vAlign w:val="bottom"/>
          </w:tcPr>
          <w:p>
            <w:pPr>
              <w:spacing w:after="0"/>
              <w:rPr>
                <w:sz w:val="12"/>
                <w:szCs w:val="12"/>
                <w:color w:val="auto"/>
              </w:rPr>
            </w:pPr>
          </w:p>
        </w:tc>
      </w:tr>
      <w:tr>
        <w:trPr>
          <w:trHeight w:val="142"/>
        </w:trPr>
        <w:tc>
          <w:tcPr>
            <w:tcW w:w="28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(67)</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(14)</w:t>
            </w:r>
          </w:p>
        </w:tc>
        <w:tc>
          <w:tcPr>
            <w:tcW w:w="200" w:type="dxa"/>
            <w:vAlign w:val="bottom"/>
            <w:tcBorders>
              <w:top w:val="single" w:sz="8" w:color="CCEEFF"/>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(96)</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w:t>
            </w:r>
          </w:p>
        </w:tc>
        <w:tc>
          <w:tcPr>
            <w:tcW w:w="200" w:type="dxa"/>
            <w:vAlign w:val="bottom"/>
            <w:tcBorders>
              <w:top w:val="single" w:sz="8" w:color="CCEEFF"/>
            </w:tcBorders>
            <w:shd w:val="clear" w:color="auto" w:fill="CCEEFF"/>
          </w:tcPr>
          <w:p>
            <w:pPr>
              <w:jc w:val="right"/>
              <w:ind w:right="33"/>
              <w:spacing w:after="0" w:line="142" w:lineRule="exact"/>
              <w:rPr>
                <w:sz w:val="20"/>
                <w:szCs w:val="20"/>
                <w:color w:val="auto"/>
              </w:rPr>
            </w:pPr>
            <w:r>
              <w:rPr>
                <w:rFonts w:ascii="Times New Roman" w:cs="Times New Roman" w:eastAsia="Times New Roman" w:hAnsi="Times New Roman"/>
                <w:sz w:val="13"/>
                <w:szCs w:val="13"/>
                <w:color w:val="auto"/>
                <w:w w:val="73"/>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(3,906)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(251)</w:t>
            </w:r>
          </w:p>
        </w:tc>
        <w:tc>
          <w:tcPr>
            <w:tcW w:w="200" w:type="dxa"/>
            <w:vAlign w:val="bottom"/>
            <w:tcBorders>
              <w:top w:val="single" w:sz="8" w:color="CCEEFF"/>
            </w:tcBorders>
            <w:shd w:val="clear" w:color="auto" w:fill="CCEEFF"/>
          </w:tcPr>
          <w:p>
            <w:pPr>
              <w:jc w:val="right"/>
              <w:ind w:right="1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(265)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w:t>
            </w:r>
          </w:p>
        </w:tc>
        <w:tc>
          <w:tcPr>
            <w:tcW w:w="18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r>
      <w:tr>
        <w:trPr>
          <w:trHeight w:val="149"/>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Add: Amortization of acquired intangible assets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14 %</w:t>
            </w:r>
          </w:p>
        </w:tc>
        <w:tc>
          <w:tcPr>
            <w:tcW w:w="14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40" w:type="dxa"/>
            <w:vAlign w:val="bottom"/>
          </w:tcPr>
          <w:p>
            <w:pPr>
              <w:spacing w:after="0"/>
              <w:rPr>
                <w:sz w:val="12"/>
                <w:szCs w:val="12"/>
                <w:color w:val="auto"/>
              </w:rPr>
            </w:pPr>
          </w:p>
        </w:tc>
        <w:tc>
          <w:tcPr>
            <w:tcW w:w="1120" w:type="dxa"/>
            <w:vAlign w:val="bottom"/>
            <w:gridSpan w:val="3"/>
          </w:tcPr>
          <w:p>
            <w:pPr>
              <w:jc w:val="right"/>
              <w:ind w:right="33"/>
              <w:spacing w:after="0"/>
              <w:rPr>
                <w:sz w:val="20"/>
                <w:szCs w:val="20"/>
                <w:color w:val="auto"/>
              </w:rPr>
            </w:pPr>
            <w:r>
              <w:rPr>
                <w:rFonts w:ascii="Times New Roman" w:cs="Times New Roman" w:eastAsia="Times New Roman" w:hAnsi="Times New Roman"/>
                <w:sz w:val="13"/>
                <w:szCs w:val="13"/>
                <w:color w:val="auto"/>
              </w:rPr>
              <w:t>22 %</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19 %</w:t>
            </w:r>
          </w:p>
        </w:tc>
        <w:tc>
          <w:tcPr>
            <w:tcW w:w="1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23 %</w:t>
            </w:r>
          </w:p>
        </w:tc>
      </w:tr>
      <w:tr>
        <w:trPr>
          <w:trHeight w:val="148"/>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 Share-based compensation expense</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21 %</w:t>
            </w: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4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14 %</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18 %</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14 %</w:t>
            </w:r>
          </w:p>
        </w:tc>
      </w:tr>
      <w:tr>
        <w:trPr>
          <w:trHeight w:val="149"/>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Less: R&amp;D Law incentive grant related to ordinary</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9"/>
        </w:trPr>
        <w:tc>
          <w:tcPr>
            <w:tcW w:w="2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income arising from sales of shares received from</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61"/>
        </w:trPr>
        <w:tc>
          <w:tcPr>
            <w:tcW w:w="28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the settlement of RSUs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tcPr>
          <w:p>
            <w:pPr>
              <w:spacing w:after="0"/>
              <w:rPr>
                <w:sz w:val="14"/>
                <w:szCs w:val="14"/>
                <w:color w:val="auto"/>
              </w:rPr>
            </w:pP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4"/>
                <w:szCs w:val="14"/>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(18)</w:t>
            </w:r>
          </w:p>
        </w:tc>
        <w:tc>
          <w:tcPr>
            <w:tcW w:w="140" w:type="dxa"/>
            <w:vAlign w:val="bottom"/>
          </w:tcPr>
          <w:p>
            <w:pPr>
              <w:spacing w:after="0"/>
              <w:rPr>
                <w:sz w:val="14"/>
                <w:szCs w:val="14"/>
                <w:color w:val="auto"/>
              </w:rPr>
            </w:pP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7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4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 Acquisition related expenses</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 %</w:t>
            </w: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49"/>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Add: Goodwill impairment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3"/>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 %</w:t>
            </w:r>
          </w:p>
        </w:tc>
        <w:tc>
          <w:tcPr>
            <w:tcW w:w="140" w:type="dxa"/>
            <w:vAlign w:val="bottom"/>
          </w:tcPr>
          <w:p>
            <w:pPr>
              <w:spacing w:after="0"/>
              <w:rPr>
                <w:sz w:val="12"/>
                <w:szCs w:val="12"/>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33"/>
              <w:spacing w:after="0"/>
              <w:rPr>
                <w:sz w:val="20"/>
                <w:szCs w:val="20"/>
                <w:color w:val="auto"/>
              </w:rPr>
            </w:pPr>
            <w:r>
              <w:rPr>
                <w:rFonts w:ascii="Times New Roman" w:cs="Times New Roman" w:eastAsia="Times New Roman" w:hAnsi="Times New Roman"/>
                <w:sz w:val="13"/>
                <w:szCs w:val="13"/>
                <w:color w:val="auto"/>
              </w:rPr>
              <w:t>— %</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3,788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3"/>
              <w:spacing w:after="0"/>
              <w:rPr>
                <w:sz w:val="20"/>
                <w:szCs w:val="20"/>
                <w:color w:val="auto"/>
              </w:rPr>
            </w:pPr>
            <w:r>
              <w:rPr>
                <w:rFonts w:ascii="Times New Roman" w:cs="Times New Roman" w:eastAsia="Times New Roman" w:hAnsi="Times New Roman"/>
                <w:sz w:val="13"/>
                <w:szCs w:val="13"/>
                <w:color w:val="auto"/>
              </w:rPr>
              <w:t>243 %</w:t>
            </w:r>
          </w:p>
        </w:tc>
        <w:tc>
          <w:tcPr>
            <w:tcW w:w="120" w:type="dxa"/>
            <w:vAlign w:val="bottom"/>
          </w:tcPr>
          <w:p>
            <w:pPr>
              <w:spacing w:after="0"/>
              <w:rPr>
                <w:sz w:val="12"/>
                <w:szCs w:val="12"/>
                <w:color w:val="auto"/>
              </w:rPr>
            </w:pPr>
          </w:p>
        </w:tc>
        <w:tc>
          <w:tcPr>
            <w:tcW w:w="7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2"/>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Income tax effects</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w:t>
            </w:r>
          </w:p>
        </w:tc>
        <w:tc>
          <w:tcPr>
            <w:tcW w:w="1120" w:type="dxa"/>
            <w:vAlign w:val="bottom"/>
            <w:gridSpan w:val="3"/>
            <w:shd w:val="clear" w:color="auto" w:fill="CCEEFF"/>
          </w:tcPr>
          <w:p>
            <w:pPr>
              <w:jc w:val="right"/>
              <w:ind w:right="33"/>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(95)</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(33)</w:t>
            </w:r>
          </w:p>
        </w:tc>
        <w:tc>
          <w:tcPr>
            <w:tcW w:w="1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142"/>
        </w:trPr>
        <w:tc>
          <w:tcPr>
            <w:tcW w:w="2860" w:type="dxa"/>
            <w:vAlign w:val="bottom"/>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Adjusted Net Income (Loss)</w:t>
            </w: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95</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19</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76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w:t>
            </w:r>
          </w:p>
        </w:tc>
        <w:tc>
          <w:tcPr>
            <w:tcW w:w="200" w:type="dxa"/>
            <w:vAlign w:val="bottom"/>
          </w:tcPr>
          <w:p>
            <w:pPr>
              <w:jc w:val="right"/>
              <w:ind w:right="13"/>
              <w:spacing w:after="0" w:line="142"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346</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22</w:t>
            </w:r>
          </w:p>
        </w:tc>
        <w:tc>
          <w:tcPr>
            <w:tcW w:w="20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241</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17</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r>
      <w:tr>
        <w:trPr>
          <w:trHeight w:val="20"/>
        </w:trPr>
        <w:tc>
          <w:tcPr>
            <w:tcW w:w="2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360"/>
          </w:cols>
          <w:pgMar w:left="440" w:top="106" w:right="1099" w:bottom="1440" w:gutter="0" w:footer="0" w:header="0"/>
        </w:sectPr>
      </w:pPr>
    </w:p>
    <w:p>
      <w:pPr>
        <w:spacing w:after="0" w:line="38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360"/>
          </w:cols>
          <w:pgMar w:left="440" w:top="106" w:right="1099"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The three months ended September 26, 2026 ended with a Net Loss of $67 million compared to a $96 million Net Loss in the three months ended September 27, 2025. The decrease in Net Loss is mainly due to a reduction in operating expenses attributed to a $52 million R&amp;D Law incentive grant recognized and a decrease in amortization of intangible assets, partially offset by higher share-based compensation expenses.</w:t>
      </w:r>
    </w:p>
    <w:p>
      <w:pPr>
        <w:spacing w:after="0" w:line="180"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Our Net Loss increased by $3,641 million in the nine months ended September 26, 2026, compared to the nine months ended September 27, 2025. The increase in Net Loss is mainly due to a goodwill impairment loss recognized during the first quarter of 2026.</w:t>
      </w:r>
    </w:p>
    <w:p>
      <w:pPr>
        <w:spacing w:after="0" w:line="162"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Our Adjusted Net Income increased by $19 million in the three months ended September 26, 2026, compared to the three months ended September 27, 2025. Our Adjusted Net Income increased by $105 million in the nine months ended September 26, 2026, compared to the nine months ended September 27, 2025. The increase in both periods was mainly due to an increase in Adjusted Operating Income.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U.S. GAAP. The preparation of financial statements and related disclosures in conformity with U.S. generally accepted accounting principles and the Company’s discussion and analysis of its financial condition and operating results require the Company’s management to make judgments, assumptions and estimates that affect the amounts reported. We base our assumptions, estimates and judgments on historical experience, current trends and other factors that management believes to be relevant at the time the estimate was made.</w:t>
      </w:r>
    </w:p>
    <w:p>
      <w:pPr>
        <w:spacing w:after="0" w:line="183"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Note 2, “Significant Accounting Policies” of the Notes to the condensed consolidated Financial Statements in Part I, Item 1 of this Form 10-Q and in the Notes to the Consolidated Financial Statements in Part II, Item 8 of the 2025 Annual Report on Form 10-K, as filed with the SEC on February 12, 2026 (the “2025 Form 10-K”) describe the significant accounting policies and methods used in the preparation of the Company’s condensed consolidated financial statements. There have been no material changes to the Company’s critical accounting estimates since the 2025 Form 10-K, except for the addition of a new critical accounting estimate regarding Refundable Research and Development Incentives detailed below.</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As noted in the 2025 Form 10-K critical accounting policies, we regularly test our goodwill and intangible assets to make a judgment on whether facts and circumstances indicate that the carrying amount may not be recoverable and an impairment may be required. These reviews can be affected by various factors, including external factors such as industry and economic trends, and internal factors such as changes in our business strategy and our forecasts for specific product lines.</w:t>
      </w:r>
    </w:p>
    <w:p>
      <w:pPr>
        <w:spacing w:after="0" w:line="180"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During the fourth quarter of 2025, we completed our annual impairment assessment. For the “Mobileye” reporting unit, the assessment was performed using a quantitative test. The quantitative impairment test estimated the fair value of the reporting unit using an income approach. The Company also assessed the reasonableness of the estimated fair value of the reporting unit by comparison to its market capitalization, including consideration of expected acquirer synergies, control premium, and the current market. Based on the assessment, no impairment was recorded.</w:t>
      </w:r>
    </w:p>
    <w:p>
      <w:pPr>
        <w:spacing w:after="0" w:line="183" w:lineRule="exact"/>
        <w:rPr>
          <w:sz w:val="20"/>
          <w:szCs w:val="20"/>
          <w:color w:val="auto"/>
        </w:rPr>
      </w:pPr>
    </w:p>
    <w:p>
      <w:pPr>
        <w:jc w:val="both"/>
        <w:ind w:left="640" w:firstLine="324"/>
        <w:spacing w:after="0" w:line="218" w:lineRule="exact"/>
        <w:rPr>
          <w:sz w:val="20"/>
          <w:szCs w:val="20"/>
          <w:color w:val="auto"/>
        </w:rPr>
      </w:pPr>
      <w:r>
        <w:rPr>
          <w:rFonts w:ascii="Times New Roman" w:cs="Times New Roman" w:eastAsia="Times New Roman" w:hAnsi="Times New Roman"/>
          <w:sz w:val="18"/>
          <w:szCs w:val="18"/>
          <w:color w:val="auto"/>
        </w:rPr>
        <w:t>During the first quarter of 2026, we performed an interim quantitative goodwill impairment analysis for the “Mobileye” reporting unit due to a 35% decline in the share price of the Company’s Class A common stock and the corresponding decline in market capitalization since the most recent assessment date, as well as increased uncertainty in the macroeconomic and geopolitical environment. The quantitative impairment test estimates the fair value of the reporting unit using an income approach. Significant inputs and assumptions incorporated in the valuation include business projections, estimated costs, terminal growth rate, and discount rate based on the reporting unit’s weighted average cost of capital. When using the income approach, we tested the reasonableness of the inputs and outcomes of our discounted cash flow analysis against available market data. As part of this analysis, we determined that a significant increase in the discount rate was required relative to the discount rate used in our most recent assessment. This increase resulted from higher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and Mobileye-specific risk premiums associated with changes in global macroeconomic conditions in 2026, including heightened geopolitical risks related to operations in the Middle East, particularly the conflict between Israel and Iran, as well as increased uncertainty related to the evolving competitive landscape.</w:t>
      </w:r>
    </w:p>
    <w:p>
      <w:pPr>
        <w:spacing w:after="0" w:line="201"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We also assessed the reasonableness of the estimated fair value of the reporting unit by comparison to its market capitalization, including consideration of expected acquirer synergies, control premium, and the current market.</w:t>
      </w:r>
    </w:p>
    <w:p>
      <w:pPr>
        <w:sectPr>
          <w:pgSz w:w="11900" w:h="16838" w:orient="portrait"/>
          <w:cols w:equalWidth="0" w:num="1">
            <w:col w:w="10360"/>
          </w:cols>
          <w:pgMar w:left="440" w:top="106" w:right="1099" w:bottom="1440" w:gutter="0" w:footer="0" w:header="0"/>
        </w:sectPr>
      </w:pPr>
    </w:p>
    <w:p>
      <w:pPr>
        <w:spacing w:after="0" w:line="39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360"/>
          </w:cols>
          <w:pgMar w:left="440" w:top="106" w:right="1099"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The results of the impairment analysis indicated that the fair value of the Mobileye reporting unit is below its carrying amount and therefore a non-cash impairment loss of $3,788 million was recognized in the first quarter of 2026.</w:t>
      </w:r>
    </w:p>
    <w:p>
      <w:pPr>
        <w:spacing w:after="0" w:line="162"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A 1% increase in the discount rate and a 0.5% decrease in terminal growth rate would have resulted in an additional impairment of $682 million and $141 million, respectively.</w:t>
      </w:r>
    </w:p>
    <w:p>
      <w:pPr>
        <w:spacing w:after="0" w:line="162"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Our impairment conclusion is sensitive to the market capitalization in that a further sustained decline in the Company’s market capitalization may require additional analysis to support the reasonability of our implied control premium, and may require further adjustments to certain key assumptions underlying our valuation.</w:t>
      </w:r>
    </w:p>
    <w:p>
      <w:pPr>
        <w:spacing w:after="0" w:line="176"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During the third quarter of 2026, we completed our quarterly qualitative assessment for indicators of goodwill impairment. Based on the assessment, no indicators were identified for the “Mobileye” reporting unit. For the “Other” reporting unit, we performed a quantitative goodwill impairment analysis, in light of changes in business strategy and a related work-force reduction. The assessment indicated that no goodwill impairment was required.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Research and Development Incentives</w:t>
      </w:r>
    </w:p>
    <w:p>
      <w:pPr>
        <w:spacing w:after="0" w:line="175"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The R&amp;D Law, enacted on March 29, 2026, introduced a refundable tax credit regime which applies to qualifying research and developments expenditures incurred in tax years beginning on or after January 1, 2026. The R&amp;D Law provides eligible companies with an incentive calculated as a percentage of qualifying research and development expenditures incurred in Israel. Subject to applicable statutory requirements and other conditions, the incentive may be offset against Israeli income taxes or Israeli QDMTT. Alternatively, an unused grant may be received in cash after the prescribed carryforward period, and an eligible company may make an irrevocable election to receive the incentive as a cash grant rather than a credit.</w:t>
      </w:r>
    </w:p>
    <w:p>
      <w:pPr>
        <w:spacing w:after="0" w:line="187"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Because the incentive may be received in cash and is determined based on qualifying research and development expenditures, the Company accounts for this benefit using a government grant accounting model applied by analogy. The benefit is recognized as a reduction of the related research and development expense when there is reasonable assurance that the Company will comply with the applicable conditions and that the benefit will be received.</w:t>
      </w:r>
    </w:p>
    <w:p>
      <w:pPr>
        <w:spacing w:after="0" w:line="180" w:lineRule="exact"/>
        <w:rPr>
          <w:sz w:val="20"/>
          <w:szCs w:val="20"/>
          <w:color w:val="auto"/>
        </w:rPr>
      </w:pPr>
    </w:p>
    <w:p>
      <w:pPr>
        <w:jc w:val="both"/>
        <w:ind w:left="640" w:firstLine="324"/>
        <w:spacing w:after="0" w:line="255" w:lineRule="auto"/>
        <w:rPr>
          <w:sz w:val="20"/>
          <w:szCs w:val="20"/>
          <w:color w:val="auto"/>
        </w:rPr>
      </w:pPr>
      <w:r>
        <w:rPr>
          <w:rFonts w:ascii="Times New Roman" w:cs="Times New Roman" w:eastAsia="Times New Roman" w:hAnsi="Times New Roman"/>
          <w:sz w:val="18"/>
          <w:szCs w:val="18"/>
          <w:color w:val="auto"/>
        </w:rPr>
        <w:t>The recognition and measurement of the incentive require judgment, including in assessing the Company’s eligibility, determining whether the recognition criteria have been met, identifying and measuring qualifying research and development expenditures incurred in Israel and estimating the amount expected to be approved by the relevant Israeli authorities. Changes in these judgments, or in regulations, interpretations, administrative guidance or determinations under the R&amp;D Law (including in respect of any change in Intel’s status as a controlling shareholder and any resulting impact on the Company’s eligibility for, or the amount of the incentive) could affect the amount and timing of the incentive recognized and, consequently, research and development expenses in the Company’s consolidated financial statements.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the federal securities laws. Mobileye and its representatives may also, from time to time, make certain forward-looking statements in publicly released materials, both written and oral, including statements contained in filings with the SEC, press releases, and our reports to stockholders. Forward-looking statements may be identified by the use of words such as “plan,” “expect,” “believe,” “intend,” “will,” “may,” “anticipate,” “estimate” and other words of similar meaning in conjunction with, among other things, discussions of future operations and financial performance (including volume growth, pricing, sales and earnings per share growth, and cash flows) and statements regarding our strategy for growth, future product development, regulatory approvals, competitive position and expenditures. All statements that address our future operating performance or events or developments that we expect or anticipate will occur in the future are forward-looking statements.</w:t>
      </w:r>
    </w:p>
    <w:p>
      <w:pPr>
        <w:spacing w:after="0" w:line="188" w:lineRule="exact"/>
        <w:rPr>
          <w:sz w:val="20"/>
          <w:szCs w:val="20"/>
          <w:color w:val="auto"/>
        </w:rPr>
      </w:pPr>
    </w:p>
    <w:p>
      <w:pPr>
        <w:jc w:val="both"/>
        <w:ind w:left="640"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are, and will be, based on management’s then-current views and assumptions regarding future events, developments and operating performance, and speak only as of their dates. Investors should realize that if underlying assumptions prove inaccurate, or risks or uncertainties materialize, actual results could vary materially from our expectations and projections. Investors are therefore cautioned not to place undue reliance on any forward-looking statements. Furthermore, we undertake no obligation to update or revise any forward-looking statements after the date they are made, whether as a result of new information, future events and developments or otherwise, except as required by applicable law or regulations.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360"/>
          </w:cols>
          <w:pgMar w:left="440" w:top="106" w:right="1099"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Forward-looking statements contained in this report may include, but are not limited to, statements about:</w:t>
      </w:r>
    </w:p>
    <w:p>
      <w:pPr>
        <w:spacing w:after="0" w:line="225" w:lineRule="exact"/>
        <w:rPr>
          <w:sz w:val="20"/>
          <w:szCs w:val="20"/>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deterioration of macroeconomic conditions due to ongoing global economic and political uncertainty;</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business, strategic and financial performance, goals and measures;</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prospects and trends in markets and industries relevant to our business;</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investment plans;</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about our ability to maintain or enhance our leadership position in the markets in which we participate;</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consumer demand and behavior, including expectations about excess inventory utilization by customers;</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compete in the markets in which we operate;</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emerging chip manufacturers and OEMs;</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products and technology, and the expected availability and benefits of such products and technology;</w:t>
      </w:r>
    </w:p>
    <w:p>
      <w:pPr>
        <w:spacing w:after="0" w:line="225" w:lineRule="exact"/>
        <w:rPr>
          <w:rFonts w:ascii="Times New Roman" w:cs="Times New Roman" w:eastAsia="Times New Roman" w:hAnsi="Times New Roman"/>
          <w:sz w:val="18"/>
          <w:szCs w:val="18"/>
          <w:color w:val="auto"/>
        </w:rPr>
      </w:pPr>
    </w:p>
    <w:p>
      <w:pPr>
        <w:ind w:left="1640" w:hanging="321"/>
        <w:spacing w:after="0" w:line="282" w:lineRule="auto"/>
        <w:tabs>
          <w:tab w:leader="none" w:pos="1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vertically integrated robotaxi business, including the development, launch, operation, scaling, regulatory approval and commercial acceptance of autonomous ride-hailing services, may not proceed as expected;</w:t>
      </w:r>
    </w:p>
    <w:p>
      <w:pPr>
        <w:spacing w:after="0" w:line="161"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humanoid robotics industry and its accompanying technology may not develop as expected;</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regulatory frameworks for current and future technology;</w:t>
      </w:r>
    </w:p>
    <w:p>
      <w:pPr>
        <w:spacing w:after="0" w:line="225" w:lineRule="exact"/>
        <w:rPr>
          <w:rFonts w:ascii="Times New Roman" w:cs="Times New Roman" w:eastAsia="Times New Roman" w:hAnsi="Times New Roman"/>
          <w:sz w:val="18"/>
          <w:szCs w:val="18"/>
          <w:color w:val="auto"/>
        </w:rPr>
      </w:pPr>
    </w:p>
    <w:p>
      <w:pPr>
        <w:ind w:left="1640" w:hanging="321"/>
        <w:spacing w:after="0" w:line="282" w:lineRule="auto"/>
        <w:tabs>
          <w:tab w:leader="none" w:pos="1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 and trade policy, including increased tariffs, in regions in which we operate, including the U.S., Europe and China;</w:t>
      </w:r>
    </w:p>
    <w:p>
      <w:pPr>
        <w:spacing w:after="0" w:line="161"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cost and pricing trends;</w:t>
      </w:r>
    </w:p>
    <w:p>
      <w:pPr>
        <w:spacing w:after="0" w:line="225"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production capacity and product supply;</w:t>
      </w:r>
    </w:p>
    <w:p>
      <w:pPr>
        <w:spacing w:after="0" w:line="225" w:lineRule="exact"/>
        <w:rPr>
          <w:rFonts w:ascii="Times New Roman" w:cs="Times New Roman" w:eastAsia="Times New Roman" w:hAnsi="Times New Roman"/>
          <w:sz w:val="18"/>
          <w:szCs w:val="18"/>
          <w:color w:val="auto"/>
        </w:rPr>
      </w:pPr>
    </w:p>
    <w:p>
      <w:pPr>
        <w:ind w:left="1640" w:hanging="321"/>
        <w:spacing w:after="0" w:line="282" w:lineRule="auto"/>
        <w:tabs>
          <w:tab w:leader="none" w:pos="1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future benefits and competitive advantages associated with our technologies and architecture and the data we have accumulated;</w:t>
      </w:r>
    </w:p>
    <w:p>
      <w:pPr>
        <w:spacing w:after="0" w:line="161" w:lineRule="exact"/>
        <w:rPr>
          <w:rFonts w:ascii="Times New Roman" w:cs="Times New Roman" w:eastAsia="Times New Roman" w:hAnsi="Times New Roman"/>
          <w:sz w:val="18"/>
          <w:szCs w:val="18"/>
          <w:color w:val="auto"/>
        </w:rPr>
      </w:pPr>
    </w:p>
    <w:p>
      <w:pPr>
        <w:ind w:left="1640" w:hanging="321"/>
        <w:spacing w:after="0" w:line="282" w:lineRule="auto"/>
        <w:tabs>
          <w:tab w:leader="none" w:pos="1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purchase, use and availability of products, components and services supplied by third parties, including third-party IP and manufacturing services;</w:t>
      </w:r>
    </w:p>
    <w:p>
      <w:pPr>
        <w:spacing w:after="0" w:line="161" w:lineRule="exact"/>
        <w:rPr>
          <w:rFonts w:ascii="Times New Roman" w:cs="Times New Roman" w:eastAsia="Times New Roman" w:hAnsi="Times New Roman"/>
          <w:sz w:val="18"/>
          <w:szCs w:val="18"/>
          <w:color w:val="auto"/>
        </w:rPr>
      </w:pPr>
    </w:p>
    <w:p>
      <w:pPr>
        <w:jc w:val="both"/>
        <w:ind w:left="1640" w:hanging="321"/>
        <w:spacing w:after="0" w:line="266" w:lineRule="auto"/>
        <w:tabs>
          <w:tab w:leader="none" w:pos="1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events or assumptions, including statements relating to our estimated vehicle production and market opportunity, potential production volumes associated with design wins and other characterizations of future events or circumstances;</w:t>
      </w:r>
    </w:p>
    <w:p>
      <w:pPr>
        <w:spacing w:after="0" w:line="175" w:lineRule="exact"/>
        <w:rPr>
          <w:rFonts w:ascii="Times New Roman" w:cs="Times New Roman" w:eastAsia="Times New Roman" w:hAnsi="Times New Roman"/>
          <w:sz w:val="18"/>
          <w:szCs w:val="18"/>
          <w:color w:val="auto"/>
        </w:rPr>
      </w:pPr>
    </w:p>
    <w:p>
      <w:pPr>
        <w:ind w:left="1640" w:hanging="321"/>
        <w:spacing w:after="0" w:line="282" w:lineRule="auto"/>
        <w:tabs>
          <w:tab w:leader="none" w:pos="1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conditions in Israel, including as a result of war and geopolitical conflict, which may affect our operations and may limit our ability to produce and sell our solutions;</w:t>
      </w:r>
    </w:p>
    <w:p>
      <w:pPr>
        <w:spacing w:after="0" w:line="161" w:lineRule="exact"/>
        <w:rPr>
          <w:rFonts w:ascii="Times New Roman" w:cs="Times New Roman" w:eastAsia="Times New Roman" w:hAnsi="Times New Roman"/>
          <w:sz w:val="18"/>
          <w:szCs w:val="18"/>
          <w:color w:val="auto"/>
        </w:rPr>
      </w:pPr>
    </w:p>
    <w:p>
      <w:pPr>
        <w:ind w:left="1640" w:hanging="321"/>
        <w:spacing w:after="0" w:line="282" w:lineRule="auto"/>
        <w:tabs>
          <w:tab w:leader="none" w:pos="1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our operations by the obligations of our personnel to perform military service as a result of current or future military actions involving Israel;</w:t>
      </w:r>
    </w:p>
    <w:p>
      <w:pPr>
        <w:spacing w:after="0" w:line="161" w:lineRule="exact"/>
        <w:rPr>
          <w:rFonts w:ascii="Times New Roman" w:cs="Times New Roman" w:eastAsia="Times New Roman" w:hAnsi="Times New Roman"/>
          <w:sz w:val="18"/>
          <w:szCs w:val="18"/>
          <w:color w:val="auto"/>
        </w:rPr>
      </w:pPr>
    </w:p>
    <w:p>
      <w:pPr>
        <w:ind w:left="1640" w:hanging="321"/>
        <w:spacing w:after="0" w:line="282" w:lineRule="auto"/>
        <w:tabs>
          <w:tab w:leader="none" w:pos="16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uses, sufficiency and cost of capital and capital resources, including expected returns to stockholders such as dividends, and the expected timing of future dividends;</w:t>
      </w:r>
    </w:p>
    <w:p>
      <w:pPr>
        <w:spacing w:after="0" w:line="161"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and accounting-related expectations;</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360"/>
          </w:cols>
          <w:pgMar w:left="440" w:top="106" w:right="1099"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640" w:hanging="321"/>
        <w:spacing w:after="0" w:line="282"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sustained low levels of our share price and market capitalization as well as other factors may require further testing of our Mobileye reporting unit, which may result in an impairment of goodwill;</w:t>
      </w:r>
    </w:p>
    <w:p>
      <w:pPr>
        <w:spacing w:after="0" w:line="161" w:lineRule="exact"/>
        <w:rPr>
          <w:rFonts w:ascii="Times New Roman" w:cs="Times New Roman" w:eastAsia="Times New Roman" w:hAnsi="Times New Roman"/>
          <w:sz w:val="18"/>
          <w:szCs w:val="18"/>
          <w:color w:val="auto"/>
        </w:rPr>
      </w:pPr>
    </w:p>
    <w:p>
      <w:pPr>
        <w:ind w:left="1640" w:hanging="321"/>
        <w:spacing w:after="0" w:line="282"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our key personnel and leadership, the timing of any such transition and its anticipated effects on our business;</w:t>
      </w:r>
    </w:p>
    <w:p>
      <w:pPr>
        <w:spacing w:after="0" w:line="161"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meet our social and environmental goals and projections; and</w:t>
      </w:r>
    </w:p>
    <w:p>
      <w:pPr>
        <w:spacing w:after="0" w:line="225" w:lineRule="exact"/>
        <w:rPr>
          <w:rFonts w:ascii="Times New Roman" w:cs="Times New Roman" w:eastAsia="Times New Roman" w:hAnsi="Times New Roman"/>
          <w:sz w:val="18"/>
          <w:szCs w:val="18"/>
          <w:color w:val="auto"/>
        </w:rPr>
      </w:pPr>
    </w:p>
    <w:p>
      <w:pPr>
        <w:ind w:left="1640" w:hanging="321"/>
        <w:spacing w:after="0" w:line="282" w:lineRule="auto"/>
        <w:tabs>
          <w:tab w:leader="none" w:pos="1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described in this report and under the sections entitled “Risk Factors,” “Management’s Discussion and Analysis of Financial Condition and Results of Operations” and “Business,” in our 2025 Form 10-K.</w:t>
      </w:r>
    </w:p>
    <w:p>
      <w:pPr>
        <w:spacing w:after="0" w:line="162"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The risk factors discussed under the section entitled “Risk Factors” included in our 2025 Form 10-K could cause our results to differ materially from those expressed in the forward-looking statements made in this Quarterly Report on Form 10-Q. There also may be other risks that are currently unknown to us or that we are unable to predict at this time.</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 and interest rates. There were no material changes to the information on market risk disclosure from our 2025 Form 10-K.</w:t>
      </w:r>
    </w:p>
    <w:p>
      <w:pPr>
        <w:spacing w:after="0" w:line="16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02" w:lineRule="exact"/>
        <w:rPr>
          <w:sz w:val="20"/>
          <w:szCs w:val="20"/>
          <w:color w:val="auto"/>
        </w:rPr>
      </w:pPr>
    </w:p>
    <w:p>
      <w:pPr>
        <w:jc w:val="both"/>
        <w:ind w:left="640" w:firstLine="324"/>
        <w:spacing w:after="0" w:line="255" w:lineRule="auto"/>
        <w:rPr>
          <w:sz w:val="20"/>
          <w:szCs w:val="20"/>
          <w:color w:val="auto"/>
        </w:rPr>
      </w:pPr>
      <w:r>
        <w:rPr>
          <w:rFonts w:ascii="Times New Roman" w:cs="Times New Roman" w:eastAsia="Times New Roman" w:hAnsi="Times New Roman"/>
          <w:sz w:val="18"/>
          <w:szCs w:val="18"/>
          <w:color w:val="auto"/>
        </w:rPr>
        <w:t>Our investments in money market funds, U.S. government and corporate bonds and short term deposits are subject to market risk due to changes in interest rates, which may affect our interest income and fair market value of our investments. To minimize this risk, we invest in institutional investors money market funds, which consist of high-grade securities. Our short term deposits are redeemable upon demand and held in banks domiciled in the U.S. and Europe, as well as in Israel. As of September 26, 2026 and December 27, 2025, our investment in money market funds was $560 million and $1,016 million, respectively; our U.S. government bonds were $103 million and $55 million, respectively, our corporate bonds were $30 million and zero, respectively, and our short term deposits were $756 million and $785 million, respectively.</w:t>
      </w:r>
    </w:p>
    <w:p>
      <w:pPr>
        <w:spacing w:after="0" w:line="175"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The primary objectives of our investments in money market funds, U.S. government and corporate bonds, and short term deposits are to fund our cash requirements in the ordinary course of business and preserve principal. We do not enter into investments for trading or speculative purposes.</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02" w:lineRule="exact"/>
        <w:rPr>
          <w:sz w:val="20"/>
          <w:szCs w:val="20"/>
          <w:color w:val="auto"/>
        </w:rPr>
      </w:pPr>
    </w:p>
    <w:p>
      <w:pPr>
        <w:jc w:val="both"/>
        <w:ind w:left="640" w:firstLine="324"/>
        <w:spacing w:after="0" w:line="258" w:lineRule="auto"/>
        <w:rPr>
          <w:sz w:val="20"/>
          <w:szCs w:val="20"/>
          <w:color w:val="auto"/>
        </w:rPr>
      </w:pPr>
      <w:r>
        <w:rPr>
          <w:rFonts w:ascii="Times New Roman" w:cs="Times New Roman" w:eastAsia="Times New Roman" w:hAnsi="Times New Roman"/>
          <w:sz w:val="18"/>
          <w:szCs w:val="18"/>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condensed consolidated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70"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The Company hedges portions of its forecasted payroll payments denominated in ILS using mostly forward contracts that are designated as cash flow hedges, as defined by ASC 815.</w:t>
      </w:r>
    </w:p>
    <w:p>
      <w:pPr>
        <w:spacing w:after="0" w:line="148"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If the New Israeli Shekel had strengthened by 10% against the U.S. dollar, it would have decreased our cash flows by approximately $18 million in the nine months ended September 26, 2026. If the New Israeli Shekel had strengthened by 10% against the U.S. dollar, it would have decreased our cash flows by approximately $31 million in the nine months ended September 27, 2025.</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360"/>
          </w:cols>
          <w:pgMar w:left="440" w:top="106" w:right="109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02"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management conducted an evaluation, under the supervision and with the participation of our Chief Executive Officer and Chief Financial Officer, of the effectiveness of our disclosure controls and procedures (as defined in Rules 13a-15(e) and 15d-15(e) under the Securities Exchange Act of 1934, as amended (the “Exchange Act”)). Based on this evaluation, our Chief Executive Officer and Chief Financial Officer concluded that our disclosure controls and procedures are effective to ensure that information required to be disclosed by us in reports that we file or submit under the Exchange Act is recorded, processed, summarized and reported within the time periods specified in the SEC’s rules and forms, and to ensure that information required to be disclosed by us in the reports we file or submit under the Exchange Act is accumulated and communicated to management, including our principal executive and principal financial officers, as appropriate, to allow timely decisions regarding required disclosures.</w:t>
      </w:r>
    </w:p>
    <w:p>
      <w:pPr>
        <w:spacing w:after="0" w:line="17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that occurred during the three months ended September 26, 2026 that have materially affected, or are reasonably likely to materially affect, our internal control over financial reporting.</w:t>
      </w:r>
    </w:p>
    <w:p>
      <w:pPr>
        <w:spacing w:after="0" w:line="14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360"/>
          </w:cols>
          <w:pgMar w:left="440" w:top="106" w:right="1099"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left="640" w:firstLine="324"/>
        <w:spacing w:after="0" w:line="255" w:lineRule="auto"/>
        <w:rPr>
          <w:sz w:val="20"/>
          <w:szCs w:val="20"/>
          <w:color w:val="auto"/>
        </w:rPr>
      </w:pPr>
      <w:r>
        <w:rPr>
          <w:rFonts w:ascii="Times New Roman" w:cs="Times New Roman" w:eastAsia="Times New Roman" w:hAnsi="Times New Roman"/>
          <w:sz w:val="18"/>
          <w:szCs w:val="18"/>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An adverse outcome in certain of these proceedings could have a material adverse effect on our business, financial condition and results of operations, and could cause the market value of our common stock to decline.</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Legal Actions</w:t>
      </w:r>
    </w:p>
    <w:p>
      <w:pPr>
        <w:spacing w:after="0" w:line="22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i w:val="1"/>
          <w:iCs w:val="1"/>
          <w:color w:val="auto"/>
        </w:rPr>
        <w:t>U.S. Patent Litigation</w:t>
      </w:r>
    </w:p>
    <w:p>
      <w:pPr>
        <w:spacing w:after="0" w:line="227" w:lineRule="exact"/>
        <w:rPr>
          <w:sz w:val="20"/>
          <w:szCs w:val="20"/>
          <w:color w:val="auto"/>
        </w:rPr>
      </w:pPr>
    </w:p>
    <w:p>
      <w:pPr>
        <w:jc w:val="both"/>
        <w:ind w:left="640" w:firstLine="324"/>
        <w:spacing w:after="0" w:line="253" w:lineRule="auto"/>
        <w:rPr>
          <w:sz w:val="20"/>
          <w:szCs w:val="20"/>
          <w:color w:val="auto"/>
        </w:rPr>
      </w:pPr>
      <w:r>
        <w:rPr>
          <w:rFonts w:ascii="Times New Roman" w:cs="Times New Roman" w:eastAsia="Times New Roman" w:hAnsi="Times New Roman"/>
          <w:sz w:val="18"/>
          <w:szCs w:val="18"/>
          <w:color w:val="auto"/>
        </w:rPr>
        <w:t xml:space="preserve">On January 26, 2024, Facet Technology Corp. (“Facet”) sued Mobileye in the U.S. District Court for the Eastern District of Texas for patent infringement. The suit accuses Mobileye Global Inc., Mobileye Vision Technologies Ltd. and Mobileye Inc. of allegedly infringing two expired patents. Despite expiration of the patents, the suit seeks injunctive relief and a permanent injunction as well as unspecified damages, fees and costs. Mobileye Vision Technologies Ltd. and Mobileye Inc., sued Facet in the U.S. District Court of Minnesota seeking a declaratory judgment of non-infringement of both patents. Before either action was answered, the Patent Trial and Appeal Board (“PTAB”) of the US Patent and Trademark Office instituted two </w:t>
      </w:r>
      <w:r>
        <w:rPr>
          <w:rFonts w:ascii="Times New Roman" w:cs="Times New Roman" w:eastAsia="Times New Roman" w:hAnsi="Times New Roman"/>
          <w:sz w:val="18"/>
          <w:szCs w:val="18"/>
          <w:i w:val="1"/>
          <w:iCs w:val="1"/>
          <w:color w:val="auto"/>
        </w:rPr>
        <w:t>Inter Parte Review</w:t>
      </w:r>
      <w:r>
        <w:rPr>
          <w:rFonts w:ascii="Times New Roman" w:cs="Times New Roman" w:eastAsia="Times New Roman" w:hAnsi="Times New Roman"/>
          <w:sz w:val="18"/>
          <w:szCs w:val="18"/>
          <w:color w:val="auto"/>
        </w:rPr>
        <w:t xml:space="preserve"> (IPR) proceedings on both patents, and both district court actions were stayed. Final Determinations were reached by the PTAB in both IPRs. In one, the PTAB found invalid all claims that Facet asserted in the Texas suit. The PTAB upheld the patentability of other claims not asserted in the Texas suit. Facet’s request for Director review was denied and the deadline to appeal has passed without Facet doing so, rending final the PTAB’s decision and invalidating all asserted claims of that patent. In the other IPR, the PTAB upheld the patentability of a single claim. Mobileye is pursuing an appeal of that decision. In May 2026, Facet moved to lift the stay in the Texas suit. Mobileye opposed, and the court has yet to rule. Therefore, the Texas and Minnesota district court actions both remain stayed. We intend to defend these matters vigorously. No provision was recorded in the condensed consolidated financial statements as of September 26, 2026.</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color w:val="auto"/>
        </w:rPr>
        <w:t>There have been no material changes to the risk factors as disclosed in our 2025 Form 10-K. The risks described in the section entitled “Item 1A. Risk Factors” in our 2025 Form 10-K could materially and adversely affect our business, financial condition, and results of operations, and the trading price of our Class A common stock could decline. These risk factors do not identify all risks that we face. Our operations could also be affected by factors that are not presently known to us or that we currently consider to be immaterial to our operations. Due to risks and uncertainties, known and unknown, our past financial results may not be a reliable indicator of future performance and historical trends should not be used to anticipate results or trends in future periods. Refer also to the other information set forth elsewhere herein, including the sections entitled “Forward-Looking Statements”, “Management’s Discussion and Analysis of Financial Condition and Results of Operations”, and our Consolidated Condensed Financial Statements and related Notes thereto.</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Recent Sale of Unregistered Securities</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three months ended September 26, 2026.</w:t>
      </w:r>
    </w:p>
    <w:p>
      <w:pPr>
        <w:spacing w:after="0" w:line="221"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360"/>
          </w:cols>
          <w:pgMar w:left="440" w:top="106" w:right="1099"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The following table summarizes the share repurchase activity for the three months ended September 26, 2026:</w:t>
      </w:r>
    </w:p>
    <w:p>
      <w:pPr>
        <w:spacing w:after="0" w:line="246" w:lineRule="exact"/>
        <w:rPr>
          <w:sz w:val="20"/>
          <w:szCs w:val="20"/>
          <w:color w:val="auto"/>
        </w:rPr>
      </w:pPr>
    </w:p>
    <w:tbl>
      <w:tblPr>
        <w:tblLayout w:type="fixed"/>
        <w:tblInd w:w="64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62"/>
        </w:trPr>
        <w:tc>
          <w:tcPr>
            <w:tcW w:w="4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20" w:type="dxa"/>
            <w:vAlign w:val="bottom"/>
          </w:tcPr>
          <w:p>
            <w:pPr>
              <w:spacing w:after="0"/>
              <w:rPr>
                <w:sz w:val="14"/>
                <w:szCs w:val="14"/>
                <w:color w:val="auto"/>
              </w:rPr>
            </w:pPr>
          </w:p>
        </w:tc>
        <w:tc>
          <w:tcPr>
            <w:tcW w:w="7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76"/>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 Announced</w:t>
            </w:r>
          </w:p>
        </w:tc>
        <w:tc>
          <w:tcPr>
            <w:tcW w:w="140" w:type="dxa"/>
            <w:vAlign w:val="bottom"/>
          </w:tcPr>
          <w:p>
            <w:pPr>
              <w:spacing w:after="0"/>
              <w:rPr>
                <w:sz w:val="15"/>
                <w:szCs w:val="15"/>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Purchased Under the Program</w:t>
            </w:r>
          </w:p>
        </w:tc>
      </w:tr>
      <w:tr>
        <w:trPr>
          <w:trHeight w:val="173"/>
        </w:trPr>
        <w:tc>
          <w:tcPr>
            <w:tcW w:w="418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​​​Purchased (1)</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 millions) (1)</w:t>
            </w:r>
          </w:p>
        </w:tc>
      </w:tr>
      <w:tr>
        <w:trPr>
          <w:trHeight w:val="209"/>
        </w:trPr>
        <w:tc>
          <w:tcPr>
            <w:tcW w:w="4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28, 2026 - July 25, 2026</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728,406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728,406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219.54</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July 26, 2026 - August 29, 2026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256,500</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256,500</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217.30</w:t>
            </w:r>
          </w:p>
        </w:tc>
      </w:tr>
      <w:tr>
        <w:trPr>
          <w:trHeight w:val="21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30, 2026 - September 26, 2026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27,831</w:t>
            </w:r>
          </w:p>
        </w:tc>
        <w:tc>
          <w:tcPr>
            <w:tcW w:w="3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27,831</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w:t>
            </w:r>
          </w:p>
        </w:tc>
      </w:tr>
      <w:tr>
        <w:trPr>
          <w:trHeight w:val="228"/>
        </w:trPr>
        <w:tc>
          <w:tcPr>
            <w:tcW w:w="4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1,012,737</w:t>
            </w:r>
          </w:p>
        </w:tc>
        <w:tc>
          <w:tcPr>
            <w:tcW w:w="120" w:type="dxa"/>
            <w:vAlign w:val="bottom"/>
          </w:tcPr>
          <w:p>
            <w:pPr>
              <w:spacing w:after="0"/>
              <w:rPr>
                <w:sz w:val="19"/>
                <w:szCs w:val="19"/>
                <w:color w:val="auto"/>
              </w:rPr>
            </w:pPr>
          </w:p>
        </w:tc>
        <w:tc>
          <w:tcPr>
            <w:tcW w:w="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1,012,737</w:t>
            </w: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217.07</w:t>
            </w:r>
          </w:p>
        </w:tc>
      </w:tr>
    </w:tbl>
    <w:p>
      <w:pPr>
        <w:spacing w:after="0" w:line="179" w:lineRule="exact"/>
        <w:rPr>
          <w:sz w:val="20"/>
          <w:szCs w:val="20"/>
          <w:color w:val="auto"/>
        </w:rPr>
      </w:pPr>
    </w:p>
    <w:p>
      <w:pPr>
        <w:jc w:val="both"/>
        <w:ind w:left="640" w:firstLine="328"/>
        <w:spacing w:after="0" w:line="261" w:lineRule="auto"/>
        <w:tabs>
          <w:tab w:leader="none" w:pos="12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23, 2026, the Company announced that its Board of Directors authorized the repurchase of up to $250 million of our Class A common stock. The program has no fixed expiration date. As of September 26, 2026, 3,517,833 shares were repurchased under the program. Refer to Note 4 to the Condensed Consolidated Financial Statements included in Part 1, Item 1 of this Quarterly Report on Form 10-Q, for additional information.</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Amendments to Restricted Stock Unit Agreements</w:t>
      </w:r>
    </w:p>
    <w:p>
      <w:pPr>
        <w:spacing w:after="0" w:line="229"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On October 28, 2026, Mobileye Global Inc. (the “Company”) entered into amendments to certain outstanding restricted stock unit (“RSU”) award agreements with Moran Shemesh Rojansky, Chief Financial Officer, Shai Shalev-Shwartz, Chief Technology Officer, Yaacov Ohayon, Chief Operating Officer, and Boaz Ouriel, Executive Vice President, EPG Software (collectively, the “Covered Officers”).</w:t>
      </w:r>
    </w:p>
    <w:p>
      <w:pPr>
        <w:spacing w:after="0" w:line="180"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Under the amendments, outstanding RSUs covered by the applicable award agreements that remain unvested upon a qualifying termination of employment will become fully vested following such qualifying termination and satisfaction of the applicable release requirements, subject to the conditions described below.</w:t>
      </w:r>
    </w:p>
    <w:p>
      <w:pPr>
        <w:spacing w:after="0" w:line="172" w:lineRule="exact"/>
        <w:rPr>
          <w:sz w:val="20"/>
          <w:szCs w:val="20"/>
          <w:color w:val="auto"/>
        </w:rPr>
      </w:pPr>
    </w:p>
    <w:p>
      <w:pPr>
        <w:jc w:val="both"/>
        <w:ind w:left="640" w:firstLine="32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Following the first Change in Control (as defined in the amendments) occurring after the effective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amendments, accelerated vesting will apply if a Covered Officer's employment is terminated by the Company or any of its subsidiaries without Cause (as defined in the amendments) or the Covered Officer resigns for Good Reason (as defined in the amendments), in either case during the period beginning three months before and ending eighteen months after such Change in Control and subject to applicable release requirements. For a qualifying termination occurring before the Change in Control, accelerated vesting is conditioned upon the Change in Control occurring and satisfaction of the applicable release requirements. In addition, if outstanding unvested RSUs would otherwise be cancelled without consideration in connection with the Change in Control, such RSUs will become fully vested immediately prior to the consummation of the Change in Control. The Change in Control protection applies only with respect to the first qualifying Change in Control following the effective date of the amendments and does not apply to subsequent transactions.</w:t>
      </w:r>
    </w:p>
    <w:p>
      <w:pPr>
        <w:spacing w:after="0" w:line="185" w:lineRule="exact"/>
        <w:rPr>
          <w:sz w:val="20"/>
          <w:szCs w:val="20"/>
          <w:color w:val="auto"/>
        </w:rPr>
      </w:pPr>
    </w:p>
    <w:p>
      <w:pPr>
        <w:jc w:val="both"/>
        <w:ind w:left="640"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Executive Transition. </w:t>
      </w:r>
      <w:r>
        <w:rPr>
          <w:rFonts w:ascii="Times New Roman" w:cs="Times New Roman" w:eastAsia="Times New Roman" w:hAnsi="Times New Roman"/>
          <w:sz w:val="18"/>
          <w:szCs w:val="18"/>
          <w:color w:val="auto"/>
        </w:rPr>
        <w:t>The amendments also provide that, following an Executive Transition (defined as the Company's founder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Chief Executive Officer of the Company as of the date of the amendments ceasing to serve as Chief Executive Officer for any reason), outstanding unvested RSUs will become fully vested following a termination of the Covered Officer's employment by the Company or any of its subsidiaries without Cause within eighteen months following the Executive Transition and satisfaction of the applicable release requirements. An Executive Transition alone will not result in accelerated vesting. The Executive Transition provisions do not apply to the RSU award granted to Mr. Ohayon in September 2026.</w:t>
      </w:r>
    </w:p>
    <w:p>
      <w:pPr>
        <w:sectPr>
          <w:pgSz w:w="11900" w:h="16838" w:orient="portrait"/>
          <w:cols w:equalWidth="0" w:num="1">
            <w:col w:w="10360"/>
          </w:cols>
          <w:pgMar w:left="440" w:top="106" w:right="1099" w:bottom="1440" w:gutter="0" w:footer="0" w:header="0"/>
        </w:sectPr>
      </w:pPr>
    </w:p>
    <w:p>
      <w:pPr>
        <w:spacing w:after="0" w:line="3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360"/>
          </w:cols>
          <w:pgMar w:left="440" w:top="106" w:right="1099"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Except for the acceleration applicable to RSUs that would otherwise be cancelled without consideration in connection with a Change in Control, accelerated vesting is conditioned upon the Covered Officer's execution and non-revocation of a release of claims containing restrictive covenants, confidentiality and intellectual property obligations and related provisions.</w:t>
      </w:r>
    </w:p>
    <w:p>
      <w:pPr>
        <w:spacing w:after="0" w:line="176" w:lineRule="exact"/>
        <w:rPr>
          <w:sz w:val="20"/>
          <w:szCs w:val="20"/>
          <w:color w:val="auto"/>
        </w:rPr>
      </w:pPr>
    </w:p>
    <w:p>
      <w:pPr>
        <w:jc w:val="both"/>
        <w:ind w:left="640" w:firstLine="324"/>
        <w:spacing w:after="0" w:line="261" w:lineRule="auto"/>
        <w:rPr>
          <w:sz w:val="20"/>
          <w:szCs w:val="20"/>
          <w:color w:val="auto"/>
        </w:rPr>
      </w:pPr>
      <w:r>
        <w:rPr>
          <w:rFonts w:ascii="Times New Roman" w:cs="Times New Roman" w:eastAsia="Times New Roman" w:hAnsi="Times New Roman"/>
          <w:sz w:val="18"/>
          <w:szCs w:val="18"/>
          <w:color w:val="auto"/>
        </w:rPr>
        <w:t>In addition, Mobileye Vision Technologies Ltd., an indirect wholly owned subsidiary of the Company, entered into non-binding letters of intent with the Covered Officers stating that, if additional equity awards are granted in the future, it will endeavor to recommend that such awards include change-in-control double-trigger vesting provisions, subject to the discretion and approval of the Compensation Committee or Board of Directors of the Company and the terms of the applicable awards.</w:t>
      </w:r>
    </w:p>
    <w:p>
      <w:pPr>
        <w:spacing w:after="0" w:line="180" w:lineRule="exact"/>
        <w:rPr>
          <w:sz w:val="20"/>
          <w:szCs w:val="20"/>
          <w:color w:val="auto"/>
        </w:rPr>
      </w:pPr>
    </w:p>
    <w:p>
      <w:pPr>
        <w:jc w:val="both"/>
        <w:ind w:left="640" w:firstLine="324"/>
        <w:spacing w:after="0" w:line="222" w:lineRule="exact"/>
        <w:rPr>
          <w:sz w:val="20"/>
          <w:szCs w:val="20"/>
          <w:color w:val="auto"/>
        </w:rPr>
      </w:pPr>
      <w:r>
        <w:rPr>
          <w:rFonts w:ascii="Times New Roman" w:cs="Times New Roman" w:eastAsia="Times New Roman" w:hAnsi="Times New Roman"/>
          <w:sz w:val="18"/>
          <w:szCs w:val="18"/>
          <w:color w:val="auto"/>
        </w:rPr>
        <w:t>The foregoing description does not purport to be complete and is qualified in its entirety by reference to the amendments which are filed as Exhibits 10.24, 10.25, 10.26, 10.27 and 10.28 to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and are incorporated herein by reference.</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360"/>
          </w:cols>
          <w:pgMar w:left="440" w:top="106" w:right="1099"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105156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2650" cy="10515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p>
      <w:pPr>
        <w:jc w:val="both"/>
        <w:ind w:left="1500" w:hanging="863"/>
        <w:spacing w:after="0" w:line="261" w:lineRule="auto"/>
        <w:tabs>
          <w:tab w:leader="none" w:pos="148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u w:val="single" w:color="auto"/>
          <w:color w:val="0000EE"/>
        </w:rPr>
        <w:t>Amendment to Restricted Stock Unit Agreement between Mobileye Global Inc. and Moran Shemesh Rojansky, dated as of October 28, 2026.</w:t>
      </w:r>
    </w:p>
    <w:p>
      <w:pPr>
        <w:jc w:val="both"/>
        <w:ind w:left="1500" w:hanging="863"/>
        <w:spacing w:after="0" w:line="250" w:lineRule="auto"/>
        <w:tabs>
          <w:tab w:leader="none" w:pos="1480" w:val="left"/>
        </w:tabs>
        <w:rPr>
          <w:sz w:val="20"/>
          <w:szCs w:val="20"/>
          <w:color w:val="auto"/>
        </w:rPr>
      </w:pPr>
      <w:r>
        <w:rPr>
          <w:rFonts w:ascii="Times New Roman" w:cs="Times New Roman" w:eastAsia="Times New Roman" w:hAnsi="Times New Roman"/>
          <w:sz w:val="18"/>
          <w:szCs w:val="18"/>
          <w:color w:val="auto"/>
        </w:rPr>
        <w:t>10.25*†</w:t>
      </w:r>
      <w:r>
        <w:rPr>
          <w:sz w:val="20"/>
          <w:szCs w:val="20"/>
          <w:color w:val="auto"/>
        </w:rPr>
        <w:tab/>
      </w:r>
      <w:r>
        <w:rPr>
          <w:rFonts w:ascii="Times New Roman" w:cs="Times New Roman" w:eastAsia="Times New Roman" w:hAnsi="Times New Roman"/>
          <w:sz w:val="18"/>
          <w:szCs w:val="18"/>
          <w:u w:val="single" w:color="auto"/>
          <w:color w:val="0000EE"/>
        </w:rPr>
        <w:t>Amendment to Restricted Stock Unit Agreement between Mobileye Global Inc. and Shai Shalev-Shwartz, dated as of October 28, 2026.</w:t>
      </w:r>
    </w:p>
    <w:p>
      <w:pPr>
        <w:spacing w:after="0" w:line="1" w:lineRule="exact"/>
        <w:rPr>
          <w:sz w:val="20"/>
          <w:szCs w:val="20"/>
          <w:color w:val="auto"/>
        </w:rPr>
      </w:pPr>
    </w:p>
    <w:p>
      <w:pPr>
        <w:ind w:left="640"/>
        <w:spacing w:after="0"/>
        <w:tabs>
          <w:tab w:leader="none" w:pos="148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8"/>
          <w:szCs w:val="18"/>
          <w:u w:val="single" w:color="auto"/>
          <w:color w:val="0000EE"/>
        </w:rPr>
        <w:t>Amendment to Restricted Stock Unit Agreement between Mobileye Global Inc. and Boaz Ouriel, dated as of October 28,</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u w:val="single" w:color="auto"/>
          <w:color w:val="0000EE"/>
        </w:rPr>
        <w:t>2026.</w:t>
      </w:r>
    </w:p>
    <w:p>
      <w:pPr>
        <w:spacing w:after="0" w:line="9" w:lineRule="exact"/>
        <w:rPr>
          <w:sz w:val="20"/>
          <w:szCs w:val="20"/>
          <w:color w:val="auto"/>
        </w:rPr>
      </w:pPr>
    </w:p>
    <w:p>
      <w:pPr>
        <w:ind w:left="640"/>
        <w:spacing w:after="0"/>
        <w:tabs>
          <w:tab w:leader="none" w:pos="148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7"/>
          <w:szCs w:val="17"/>
          <w:u w:val="single" w:color="auto"/>
          <w:color w:val="0000EE"/>
        </w:rPr>
        <w:t>Employment Agreement between Mobileye Vision Technologies Ltd. and Yaacov Ohayon, dated as of February 12, 2017.</w:t>
      </w:r>
    </w:p>
    <w:p>
      <w:pPr>
        <w:spacing w:after="0" w:line="9" w:lineRule="exact"/>
        <w:rPr>
          <w:sz w:val="20"/>
          <w:szCs w:val="20"/>
          <w:color w:val="auto"/>
        </w:rPr>
      </w:pPr>
    </w:p>
    <w:p>
      <w:pPr>
        <w:ind w:left="640"/>
        <w:spacing w:after="0"/>
        <w:tabs>
          <w:tab w:leader="none" w:pos="148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8"/>
          <w:szCs w:val="18"/>
          <w:u w:val="single" w:color="auto"/>
          <w:color w:val="0000EE"/>
        </w:rPr>
        <w:t>Amendment to Restricted Stock Unit Agreement between Mobileye Global Inc. and Yaacov Ohayon, dated as of October</w:t>
      </w:r>
    </w:p>
    <w:p>
      <w:pPr>
        <w:spacing w:after="0" w:line="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u w:val="single" w:color="auto"/>
          <w:color w:val="0000EE"/>
        </w:rPr>
        <w:t>28, 2026.</w:t>
      </w:r>
    </w:p>
    <w:p>
      <w:pPr>
        <w:spacing w:after="0" w:line="9"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EE"/>
        </w:rPr>
        <w:t>Certification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of the Chief Executive Officer pursuant to Section 302 of the Sarbanes-Oxley Act of 2002.</w:t>
      </w:r>
    </w:p>
    <w:p>
      <w:pPr>
        <w:spacing w:after="0" w:line="9" w:lineRule="exact"/>
        <w:rPr>
          <w:sz w:val="20"/>
          <w:szCs w:val="20"/>
          <w:color w:val="auto"/>
        </w:rPr>
      </w:pPr>
    </w:p>
    <w:p>
      <w:pPr>
        <w:ind w:left="640"/>
        <w:spacing w:after="0"/>
        <w:tabs>
          <w:tab w:leader="none" w:pos="14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EE"/>
        </w:rPr>
        <w:t>Certification of the Chief Financial Officer pursuant to Section 302 of the Sarbanes-Oxley Act of 2002.</w:t>
      </w:r>
    </w:p>
    <w:p>
      <w:pPr>
        <w:spacing w:after="0" w:line="9" w:lineRule="exact"/>
        <w:rPr>
          <w:sz w:val="20"/>
          <w:szCs w:val="20"/>
          <w:color w:val="auto"/>
        </w:rPr>
      </w:pPr>
    </w:p>
    <w:p>
      <w:pPr>
        <w:jc w:val="both"/>
        <w:ind w:left="1500" w:hanging="863"/>
        <w:spacing w:after="0" w:line="250" w:lineRule="auto"/>
        <w:tabs>
          <w:tab w:leader="none" w:pos="14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0000EE"/>
        </w:rPr>
        <w:t>Certificate of the Chief Executive Officer of Mobileye Global Inc. pursuant to 18 U.S.C. § 1350 as adopted pursuant to Section 906 of the Sarbanes-Oxley Act of 2002.</w:t>
      </w:r>
    </w:p>
    <w:p>
      <w:pPr>
        <w:spacing w:after="0" w:line="1" w:lineRule="exact"/>
        <w:rPr>
          <w:sz w:val="20"/>
          <w:szCs w:val="20"/>
          <w:color w:val="auto"/>
        </w:rPr>
      </w:pPr>
    </w:p>
    <w:p>
      <w:pPr>
        <w:jc w:val="both"/>
        <w:ind w:left="1500" w:hanging="863"/>
        <w:spacing w:after="0" w:line="250" w:lineRule="auto"/>
        <w:tabs>
          <w:tab w:leader="none" w:pos="14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0000EE"/>
        </w:rPr>
        <w:t>Certificate of the Chief Financial Officer of Mobileye Global Inc. pursuant to 18 U.S.C. § 1350 as adopted pursuant to Section 906 of the Sarbanes-Oxley Act of 2002.</w:t>
      </w:r>
    </w:p>
    <w:p>
      <w:pPr>
        <w:spacing w:after="0" w:line="1" w:lineRule="exact"/>
        <w:rPr>
          <w:sz w:val="20"/>
          <w:szCs w:val="20"/>
          <w:color w:val="auto"/>
        </w:rPr>
      </w:pPr>
    </w:p>
    <w:p>
      <w:pPr>
        <w:jc w:val="both"/>
        <w:ind w:left="1500" w:hanging="859"/>
        <w:spacing w:after="0" w:line="250" w:lineRule="auto"/>
        <w:tabs>
          <w:tab w:leader="none" w:pos="14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The following financial statements from Mobileye Global Inc.’s Quarterly Report on Form 10-Q for the three months ended September 26, 2026, filed with the Securities and Exchange Commission on October 29, 2026, formatted in iXBRL (Inline eXtensible Business Reporting Language): (i) the Consolidated Balance Sheets, (ii) the Consolidated Statements of Operations and Comprehensive Income (Loss), (iii) the Consolidated Statements of Changes in Equity, (iv) the Consolidated Statements of Cash Flows and (v) the Notes to Consolidated Financial Statements.</w:t>
      </w:r>
    </w:p>
    <w:p>
      <w:pPr>
        <w:spacing w:after="0" w:line="2" w:lineRule="exact"/>
        <w:rPr>
          <w:sz w:val="20"/>
          <w:szCs w:val="20"/>
          <w:color w:val="auto"/>
        </w:rPr>
      </w:pPr>
    </w:p>
    <w:p>
      <w:pPr>
        <w:ind w:left="640"/>
        <w:spacing w:after="0"/>
        <w:tabs>
          <w:tab w:leader="none" w:pos="14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7" w:lineRule="exact"/>
        <w:rPr>
          <w:sz w:val="20"/>
          <w:szCs w:val="20"/>
          <w:color w:val="auto"/>
        </w:rPr>
      </w:pPr>
    </w:p>
    <w:p>
      <w:pPr>
        <w:ind w:left="960" w:hanging="316"/>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960" w:hanging="316"/>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w:t>
      </w:r>
    </w:p>
    <w:p>
      <w:pPr>
        <w:spacing w:after="0" w:line="9" w:lineRule="exact"/>
        <w:rPr>
          <w:sz w:val="20"/>
          <w:szCs w:val="20"/>
          <w:color w:val="auto"/>
        </w:rPr>
      </w:pPr>
    </w:p>
    <w:p>
      <w:pPr>
        <w:ind w:left="960" w:hanging="316"/>
        <w:spacing w:after="0"/>
        <w:tabs>
          <w:tab w:leader="none" w:pos="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personal information has been omitted pursuant to Item 601(a)(6) of Regulation S-K.</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360"/>
          </w:cols>
          <w:pgMar w:left="440" w:top="106" w:right="1099"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6"/>
          <w:szCs w:val="16"/>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-102235</wp:posOffset>
            </wp:positionV>
            <wp:extent cx="7232650" cy="93783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2650" cy="937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left="6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By:/s/ Professor Amnon Shashua</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Professor Amnon Shashua</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By:/s/ Moran Shemesh Rojansky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Moran Shemesh Rojansky</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360"/>
          </w:cols>
          <w:pgMar w:left="440" w:top="106"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360"/>
          </w:cols>
          <w:pgMar w:left="440" w:top="106" w:right="1099" w:bottom="1440" w:gutter="0" w:footer="0" w:header="0"/>
          <w:type w:val="continuous"/>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b w:val="1"/>
          <w:bCs w:val="1"/>
          <w:color w:val="auto"/>
        </w:rPr>
        <w:t>Exhibit 10.24</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AMENDMENT TO RESTRICTED STOCK UNIT AGREEMENTS</w:t>
      </w:r>
    </w:p>
    <w:p>
      <w:pPr>
        <w:spacing w:after="0" w:line="225" w:lineRule="exact"/>
        <w:rPr>
          <w:sz w:val="20"/>
          <w:szCs w:val="20"/>
          <w:color w:val="auto"/>
        </w:rPr>
      </w:pPr>
    </w:p>
    <w:p>
      <w:pPr>
        <w:jc w:val="both"/>
        <w:ind w:right="20" w:firstLine="648"/>
        <w:spacing w:after="0" w:line="225" w:lineRule="auto"/>
        <w:rPr>
          <w:sz w:val="20"/>
          <w:szCs w:val="20"/>
          <w:color w:val="auto"/>
        </w:rPr>
      </w:pPr>
      <w:r>
        <w:rPr>
          <w:rFonts w:ascii="Times New Roman" w:cs="Times New Roman" w:eastAsia="Times New Roman" w:hAnsi="Times New Roman"/>
          <w:sz w:val="18"/>
          <w:szCs w:val="18"/>
          <w:color w:val="auto"/>
        </w:rPr>
        <w:t>This Amendment to Restricted Stock Unit Agreements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effective as of October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Mobileye Global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Moran Shemesh Rojansky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are parties to certain Restricted Stock Unit Agreements for grants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July 23, 2026, and particularly on October 31, 2023 (grant No. 00005712), July 10, 2024 (grant No. 00006371), July 10, 2025 (grant No. 00011936), and July 10, 2026 (grant No. 00013844) (each an “</w:t>
      </w:r>
      <w:r>
        <w:rPr>
          <w:rFonts w:ascii="Times New Roman" w:cs="Times New Roman" w:eastAsia="Times New Roman" w:hAnsi="Times New Roman"/>
          <w:sz w:val="18"/>
          <w:szCs w:val="18"/>
          <w:b w:val="1"/>
          <w:bCs w:val="1"/>
          <w:color w:val="auto"/>
        </w:rPr>
        <w:t>RSU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have agreed to modify the RSU Agreements in certain respects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RSUs which are unvested as of the Effective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desire to have the terms and conditions set forth in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any conflicting terms and conditions set forth in the RSU Agreements;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any terms and conditions of the RSU Agreements that are not inconsistent with the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Amendment are understood and agreed to continue in full force and effect, without change.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contained in this Amendment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Corporation and the Employee, intending to be legally bound, hereby agree as follows:</w:t>
      </w:r>
    </w:p>
    <w:p>
      <w:pPr>
        <w:spacing w:after="0" w:line="159" w:lineRule="exact"/>
        <w:rPr>
          <w:sz w:val="20"/>
          <w:szCs w:val="20"/>
          <w:color w:val="auto"/>
        </w:rPr>
      </w:pPr>
    </w:p>
    <w:p>
      <w:pPr>
        <w:ind w:firstLine="640"/>
        <w:spacing w:after="0" w:line="282" w:lineRule="auto"/>
        <w:tabs>
          <w:tab w:leader="none" w:pos="9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Section 6 of each of the RSU Agreements is hereby amended by adding the following paragraph to the end thereof as set forth below:</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Change in Control Double Trigger Acceleration:</w:t>
      </w:r>
    </w:p>
    <w:p>
      <w:pPr>
        <w:spacing w:after="0" w:line="229" w:lineRule="exact"/>
        <w:rPr>
          <w:sz w:val="20"/>
          <w:szCs w:val="20"/>
          <w:color w:val="auto"/>
        </w:rPr>
      </w:pPr>
    </w:p>
    <w:p>
      <w:pPr>
        <w:jc w:val="both"/>
        <w:ind w:left="960"/>
        <w:spacing w:after="0" w:line="261" w:lineRule="auto"/>
        <w:rPr>
          <w:sz w:val="20"/>
          <w:szCs w:val="20"/>
          <w:color w:val="auto"/>
        </w:rPr>
      </w:pPr>
      <w:r>
        <w:rPr>
          <w:rFonts w:ascii="Times New Roman" w:cs="Times New Roman" w:eastAsia="Times New Roman" w:hAnsi="Times New Roman"/>
          <w:sz w:val="18"/>
          <w:szCs w:val="18"/>
          <w:color w:val="auto"/>
        </w:rPr>
        <w:t>Notwithstanding any terms or conditions set forth herein to the contrary, in the event that all the following events occur: (i) the first Change in Control occurring after the Effective Date (the “</w:t>
      </w:r>
      <w:r>
        <w:rPr>
          <w:rFonts w:ascii="Times New Roman" w:cs="Times New Roman" w:eastAsia="Times New Roman" w:hAnsi="Times New Roman"/>
          <w:sz w:val="18"/>
          <w:szCs w:val="18"/>
          <w:b w:val="1"/>
          <w:bCs w:val="1"/>
          <w:color w:val="auto"/>
        </w:rPr>
        <w:t>Applicable Change in Control</w:t>
      </w:r>
      <w:r>
        <w:rPr>
          <w:rFonts w:ascii="Times New Roman" w:cs="Times New Roman" w:eastAsia="Times New Roman" w:hAnsi="Times New Roman"/>
          <w:sz w:val="18"/>
          <w:szCs w:val="18"/>
          <w:color w:val="auto"/>
        </w:rPr>
        <w:t>”) occurs,</w:t>
      </w:r>
    </w:p>
    <w:p>
      <w:pPr>
        <w:jc w:val="both"/>
        <w:ind w:left="960" w:firstLine="4"/>
        <w:spacing w:after="0" w:line="250" w:lineRule="auto"/>
        <w:tabs>
          <w:tab w:leader="none" w:pos="133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is terminated by the Corporation or any Subsidiary without Cause (and without you being rehired by the Corporation or any Subsidiary as further described in this Section 6 above) or you voluntarily resign for Good Reason, in either case within three (3) months prior to the occurrence of the Applicable Change in Control (a “</w:t>
      </w:r>
      <w:r>
        <w:rPr>
          <w:rFonts w:ascii="Times New Roman" w:cs="Times New Roman" w:eastAsia="Times New Roman" w:hAnsi="Times New Roman"/>
          <w:sz w:val="18"/>
          <w:szCs w:val="18"/>
          <w:b w:val="1"/>
          <w:bCs w:val="1"/>
          <w:color w:val="auto"/>
        </w:rPr>
        <w:t>Pre-CIC Termination</w:t>
      </w:r>
      <w:r>
        <w:rPr>
          <w:rFonts w:ascii="Times New Roman" w:cs="Times New Roman" w:eastAsia="Times New Roman" w:hAnsi="Times New Roman"/>
          <w:sz w:val="18"/>
          <w:szCs w:val="18"/>
          <w:color w:val="auto"/>
        </w:rPr>
        <w:t>”) or eighteen (18) months following the occurrence of the Applicable Change in Control and</w:t>
      </w:r>
    </w:p>
    <w:p>
      <w:pPr>
        <w:spacing w:after="0" w:line="1" w:lineRule="exact"/>
        <w:rPr>
          <w:rFonts w:ascii="Times New Roman" w:cs="Times New Roman" w:eastAsia="Times New Roman" w:hAnsi="Times New Roman"/>
          <w:sz w:val="18"/>
          <w:szCs w:val="18"/>
          <w:color w:val="auto"/>
        </w:rPr>
      </w:pPr>
    </w:p>
    <w:p>
      <w:pPr>
        <w:ind w:left="960" w:firstLine="4"/>
        <w:spacing w:after="0" w:line="260"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sign and do not revoke a Release, and such Release becomes effective within 60 days following the date your employment terminates, then each of your RSUs or any award received in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7" w:right="999" w:bottom="1440" w:gutter="0" w:footer="0" w:header="0"/>
        </w:sectPr>
      </w:pPr>
    </w:p>
    <w:bookmarkStart w:id="53" w:name="page54"/>
    <w:bookmarkEnd w:id="53"/>
    <w:p>
      <w:pPr>
        <w:jc w:val="both"/>
        <w:ind w:left="840"/>
        <w:spacing w:after="0" w:line="258" w:lineRule="auto"/>
        <w:rPr>
          <w:sz w:val="20"/>
          <w:szCs w:val="20"/>
          <w:color w:val="auto"/>
        </w:rPr>
      </w:pPr>
      <w:r>
        <w:rPr>
          <w:rFonts w:ascii="Times New Roman" w:cs="Times New Roman" w:eastAsia="Times New Roman" w:hAnsi="Times New Roman"/>
          <w:sz w:val="18"/>
          <w:szCs w:val="18"/>
          <w:color w:val="auto"/>
        </w:rPr>
        <w:t xml:space="preserve">thereof in connection with the Applicable Change in Control which is unvested as of the date of termination shall fully accelerate and become fully vested on the date of effectiveness of the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60-day period spans two calendar years, such vesting shall occur on the first day of the later of such calendar years. In the case of a Pre-CIC Termination, such acceleration shall occur after the occurrence of the Applicable Change in Control and shall be subject to you signing and non-revocation of a bring-down Release at such time.</w:t>
      </w:r>
    </w:p>
    <w:p>
      <w:pPr>
        <w:spacing w:after="0" w:line="183"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For the avoidance of doubt, the protection provided under this Section 6 is a one-time protection that applies only in connection with the Applicable Change in Control. The 18-month period following the occurrence of an Applicable Change in Control shall commence on the date of the Applicable Change of Control and shall not restart, renew, extend or create any new protection period or otherwise give rise to any additional right or benefit under this Section 6 as a result of any subsequent Change in Control, whether or not you remain employed following the Applicable Change in Control.</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Definitions:</w:t>
      </w:r>
    </w:p>
    <w:p>
      <w:pPr>
        <w:spacing w:after="0" w:line="2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one or more of the following events:</w:t>
      </w:r>
    </w:p>
    <w:p>
      <w:pPr>
        <w:spacing w:after="0" w:line="229" w:lineRule="exact"/>
        <w:rPr>
          <w:sz w:val="20"/>
          <w:szCs w:val="20"/>
          <w:color w:val="auto"/>
        </w:rPr>
      </w:pPr>
    </w:p>
    <w:p>
      <w:pPr>
        <w:jc w:val="both"/>
        <w:ind w:left="1160" w:hanging="316"/>
        <w:spacing w:after="0" w:line="255" w:lineRule="auto"/>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any group of Persons (as defined below) acting together which would constitute a “group” for purposes of Section 13(d) of the United States Securities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becomes the Beneficial Owner (as defined below), directly or indirectly, of securities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including in the securities beneficially owned by such Person any securities acquired directly from the Corporation or its affiliates) representing greater than fifty percent (50%) of the combined voting power of the Corporation’s then outstanding securities, excluding any Person who becomes such a Beneficial Owner in connection with a transaction described in clause (I) of paragraph (iii) below</w:t>
      </w:r>
    </w:p>
    <w:p>
      <w:pPr>
        <w:spacing w:after="0" w:line="188" w:lineRule="exact"/>
        <w:rPr>
          <w:rFonts w:ascii="Times New Roman" w:cs="Times New Roman" w:eastAsia="Times New Roman" w:hAnsi="Times New Roman"/>
          <w:sz w:val="18"/>
          <w:szCs w:val="18"/>
          <w:color w:val="auto"/>
        </w:rPr>
      </w:pPr>
    </w:p>
    <w:p>
      <w:pPr>
        <w:jc w:val="both"/>
        <w:ind w:left="1160" w:hanging="316"/>
        <w:spacing w:after="0" w:line="254" w:lineRule="auto"/>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on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Effective Date or whose appointment, election or nomination for election was previously so approved or recommended;</w:t>
      </w:r>
    </w:p>
    <w:p>
      <w:pPr>
        <w:spacing w:after="0" w:line="191" w:lineRule="exact"/>
        <w:rPr>
          <w:rFonts w:ascii="Times New Roman" w:cs="Times New Roman" w:eastAsia="Times New Roman" w:hAnsi="Times New Roman"/>
          <w:sz w:val="18"/>
          <w:szCs w:val="18"/>
          <w:color w:val="auto"/>
        </w:rPr>
      </w:pPr>
    </w:p>
    <w:p>
      <w:pPr>
        <w:jc w:val="both"/>
        <w:ind w:left="1160" w:hanging="316"/>
        <w:spacing w:after="0" w:line="282" w:lineRule="auto"/>
        <w:tabs>
          <w:tab w:leader="none" w:pos="11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amalgamation or consolidation of the Corporation with any other corporation or other entity, other than (I) a merger, amalgamation or consolidation (A) which results in the voting securities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4" w:name="page55"/>
    <w:bookmarkEnd w:id="54"/>
    <w:p>
      <w:pPr>
        <w:jc w:val="both"/>
        <w:ind w:left="1160"/>
        <w:spacing w:after="0" w:line="252" w:lineRule="auto"/>
        <w:rPr>
          <w:sz w:val="20"/>
          <w:szCs w:val="20"/>
          <w:color w:val="auto"/>
        </w:rPr>
      </w:pPr>
      <w:r>
        <w:rPr>
          <w:rFonts w:ascii="Times New Roman" w:cs="Times New Roman" w:eastAsia="Times New Roman" w:hAnsi="Times New Roman"/>
          <w:sz w:val="18"/>
          <w:szCs w:val="18"/>
          <w:color w:val="auto"/>
        </w:rPr>
        <w:t>Corporation outstanding immediately prior to such merger, amalgamation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of its subsidiaries at least fifty percent (50%) of the combined voting power of the securities of the Corporation or such surviving entity or any parent thereof outstanding immediately after such merger, amalgamation or consolidation and (B) immediately following which the individuals who comprise the Board immediately prior thereto constitute at least a majority of the board of directors of the Corporation, the entity surviving such merger, amalgamation or consolidation or, if the Corporation or the entity surviving such merger, amalgamation or consolidation is then a subsidiary, the ultimate parent thereof, or (II) a merger, amalgamation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greater than fifty percent (50%) of the combined voting power of the Corporation’s then outstanding securities; or</w:t>
      </w:r>
    </w:p>
    <w:p>
      <w:pPr>
        <w:spacing w:after="0" w:line="197" w:lineRule="exact"/>
        <w:rPr>
          <w:sz w:val="20"/>
          <w:szCs w:val="20"/>
          <w:color w:val="auto"/>
        </w:rPr>
      </w:pPr>
    </w:p>
    <w:p>
      <w:pPr>
        <w:jc w:val="both"/>
        <w:ind w:left="1160" w:hanging="316"/>
        <w:spacing w:after="0" w:line="254" w:lineRule="auto"/>
        <w:tabs>
          <w:tab w:leader="none" w:pos="11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an agreement for the sale or disposition by the Corporation of all or substantially all of the Corporation’s assets, other than (A) a sale or disposition by the Corporation of all or substantially all of the Corporation’s assets to an entity, at least fifty percent (50%) of the combined voting power of the voting securities of which are owned by stockholders of the Corporation following the completion of such transaction in substantially the same proportions as their ownership of the Corporation immediately prior to such sale or (B) a sale or disposition of all or substantially all of the Corporation’s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ascribed to such term in Rule 13d-3 under the Exchange Act.</w:t>
      </w:r>
    </w:p>
    <w:p>
      <w:pPr>
        <w:spacing w:after="0" w:line="225" w:lineRule="exact"/>
        <w:rPr>
          <w:sz w:val="20"/>
          <w:szCs w:val="20"/>
          <w:color w:val="auto"/>
        </w:rPr>
      </w:pPr>
    </w:p>
    <w:p>
      <w:pPr>
        <w:jc w:val="both"/>
        <w:ind w:left="8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any of the following events: (i) you commit a material breach of the Proprietary Information and Inventions Agreement, as shall be determined in the reasonable opinion of the Board, (ii) you commit a material breach of your Employment Agreement, RSU Agreements or this Amendment and for a period of 10 consecutive days fail to cure such breach (iii) you perform any act that entitles the Corporation or any Subsidiary to legally dismiss you without paying any severance pay in connection with such dismissal or (iv) you are convicted of a crime of moral turpitude or dishonesty.</w:t>
      </w:r>
    </w:p>
    <w:p>
      <w:pPr>
        <w:spacing w:after="0" w:line="1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occurrence, without your express written consent,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5" w:name="page56"/>
    <w:bookmarkEnd w:id="55"/>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 xml:space="preserve">any of the following events: (i) a material reduction in your title, duties, responsibilities or authority, or a material adverse change in your reporting relationships, (ii) a material reduction of your Salary, the Benefits, or any other material compensation or benefits as in effect on the Effective Date, or (iii) a reduction in your status to below 80% of full-time employment;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event shall constitute Good Reason unless (x) you provide written notice to your employer of the existence of the condition giving rise to Good Reason within 30 days of the initial occurrence of such condition, (y) the Corporation or your employer fail to cure such condition within 30 days following receipt of such notice and (z) you terminate employment within 30 days following the expiration of the cure period.</w:t>
      </w:r>
    </w:p>
    <w:p>
      <w:pPr>
        <w:spacing w:after="0" w:line="188" w:lineRule="exact"/>
        <w:rPr>
          <w:sz w:val="20"/>
          <w:szCs w:val="20"/>
          <w:color w:val="auto"/>
        </w:rPr>
      </w:pPr>
    </w:p>
    <w:p>
      <w:pPr>
        <w:jc w:val="both"/>
        <w:ind w:left="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meaning ascribed to such term in Section 3(a)(9) of the Exchange Act and used in Sections 13(d) and 14(d) thereof, including a “group” as defined in Section 13(d) thereof.</w:t>
      </w:r>
    </w:p>
    <w:p>
      <w:pPr>
        <w:spacing w:after="0" w:line="159"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Notwithstanding the foregoing, for each RSU that constitutes deferred compensation under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to the extent required to avoid accelerated taxation and/or tax penalties under Section 409A of the Code, the Applicable Change in Control shall be deemed to have occurred under the Plan with respect to such RSU only if a change in the ownership or effective control of the Corporation or a change in ownership of a substantial portion of the assets of the Corporation shall also be deemed to have occurred under Section 409A of the Code.</w:t>
      </w:r>
    </w:p>
    <w:p>
      <w:pPr>
        <w:spacing w:after="0" w:line="187"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Notwithstanding anything in this Amendment or the RSU Agreements to the contrary, if any payment or distribution to you pursuant to the RSU Agreements, this Amendment, or otherwise (the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such Payment shall either be (A) delivered in full or (B) delivered as to such lesser extent which would result in no portion of such Payment being subject to the Excise Tax, whichever of the foregoing amounts, taking into account the applicable federal, state and local income taxes and the Excise Tax, results in your receipt on an after-tax basis, of the largest payment, notwithstanding that all or some portion the Payment may be taxable under Section 4999 of the Code.</w:t>
      </w:r>
    </w:p>
    <w:p>
      <w:pPr>
        <w:spacing w:after="0" w:line="192"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In addition to the aforementioned, if upon the Applicable Change in Control unvested RSUs are to be cancelled for no consideration, all unvested RSUs as of closing of the Applicable Change in Control shall be fully accelerated immediately prior to such closing.</w:t>
      </w:r>
    </w:p>
    <w:p>
      <w:pPr>
        <w:spacing w:after="0" w:line="172" w:lineRule="exact"/>
        <w:rPr>
          <w:sz w:val="20"/>
          <w:szCs w:val="20"/>
          <w:color w:val="auto"/>
        </w:rPr>
      </w:pPr>
    </w:p>
    <w:p>
      <w:pPr>
        <w:jc w:val="both"/>
        <w:ind w:left="8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“Release” </w:t>
      </w:r>
      <w:r>
        <w:rPr>
          <w:rFonts w:ascii="Times New Roman" w:cs="Times New Roman" w:eastAsia="Times New Roman" w:hAnsi="Times New Roman"/>
          <w:sz w:val="18"/>
          <w:szCs w:val="18"/>
          <w:color w:val="auto"/>
        </w:rPr>
        <w:t>means a release of claims document in a form satisfactory to the Corporation and the applicable employing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such release shall include, among other things: (a) a general waiver and release of claims against the Corporation, its Subsidiaries and their respective officers, directors and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56" w:name="page57"/>
    <w:bookmarkEnd w:id="56"/>
    <w:p>
      <w:pPr>
        <w:jc w:val="both"/>
        <w:ind w:left="960" w:firstLine="4"/>
        <w:spacing w:after="0" w:line="254" w:lineRule="auto"/>
        <w:tabs>
          <w:tab w:leader="none" w:pos="1225"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that you have not breached, and an undertaking not to breach, any intellectual property obligations owed to the Corporation or any Subsidiary, (c) a confirmation that you have not breached, and an undertaking not to breach, any confidentiality obligations owed to the Corporation or any Subsidiary, (d) non-competition and non-solicitation undertakings of at least 12 months following end of employment, and (e) an acknowledgment that the acceleration of the RSUs constitutes additional consideration for the undertakings set forth in clauses (b) through (d) above, and that upon any material breach of such undertakings, the Corporation shall be entitled, without limiting any other remedy, to recover from you any shares issued upon settlement of the accelerated RSUs (or the net proceeds thereof, if sold or transferred) and to cancel any accelerated RSUs not yet settled.</w:t>
      </w:r>
    </w:p>
    <w:p>
      <w:pPr>
        <w:spacing w:after="0" w:line="191" w:lineRule="exact"/>
        <w:rPr>
          <w:rFonts w:ascii="Times New Roman" w:cs="Times New Roman" w:eastAsia="Times New Roman" w:hAnsi="Times New Roman"/>
          <w:sz w:val="18"/>
          <w:szCs w:val="18"/>
          <w:color w:val="auto"/>
        </w:rPr>
      </w:pPr>
    </w:p>
    <w:p>
      <w:pPr>
        <w:ind w:firstLine="640"/>
        <w:spacing w:after="0" w:line="282" w:lineRule="auto"/>
        <w:tabs>
          <w:tab w:leader="none" w:pos="9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Transition</w:t>
      </w:r>
      <w:r>
        <w:rPr>
          <w:rFonts w:ascii="Times New Roman" w:cs="Times New Roman" w:eastAsia="Times New Roman" w:hAnsi="Times New Roman"/>
          <w:sz w:val="18"/>
          <w:szCs w:val="18"/>
          <w:color w:val="auto"/>
        </w:rPr>
        <w:t>. Section 6 of each of the RSU Agreements is hereby amended by adding the following paragraph to the end thereof (following the Change in Control paragraph added pursuant to Section 1 above) as set forth below:</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Transition Double Trigger Acceleration.</w:t>
      </w:r>
    </w:p>
    <w:p>
      <w:pPr>
        <w:spacing w:after="0" w:line="22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 terms or conditions set forth herein to the contrary, in the event that all of the following occur (i) an Executive Transition occurs, (ii) your employment is terminated by the Corporation or any Subsidiary without Cause (and without you being rehired by the Corporation or any Subsidiary as further described in this Section 6 above) within 18 months following the occurrence of the Executive Transition and (iii) you sign and do not revoke the Release and such Release becomes effective within 60 days following the date your employment terminates, then each unvested RSU as of the date of termination shall fully accelerate and become fully vested on the date of effectiveness of the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60-day period spans two calendar years, such vesting shall occur on the first day of the later of such calendar years. For purposes of this Agreement, an “</w:t>
      </w:r>
      <w:r>
        <w:rPr>
          <w:rFonts w:ascii="Times New Roman" w:cs="Times New Roman" w:eastAsia="Times New Roman" w:hAnsi="Times New Roman"/>
          <w:sz w:val="18"/>
          <w:szCs w:val="18"/>
          <w:b w:val="1"/>
          <w:bCs w:val="1"/>
          <w:color w:val="auto"/>
        </w:rPr>
        <w:t>Executive Transition</w:t>
      </w:r>
      <w:r>
        <w:rPr>
          <w:rFonts w:ascii="Times New Roman" w:cs="Times New Roman" w:eastAsia="Times New Roman" w:hAnsi="Times New Roman"/>
          <w:sz w:val="18"/>
          <w:szCs w:val="18"/>
          <w:color w:val="auto"/>
        </w:rPr>
        <w:t>” means an event where the founder and Chief Executive Officer of the Corporation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as of the Effective Date ceases to be the CEO for any reason.</w:t>
      </w:r>
    </w:p>
    <w:p>
      <w:pPr>
        <w:spacing w:after="0" w:line="188" w:lineRule="exact"/>
        <w:rPr>
          <w:sz w:val="20"/>
          <w:szCs w:val="20"/>
          <w:color w:val="auto"/>
        </w:rPr>
      </w:pPr>
    </w:p>
    <w:p>
      <w:pPr>
        <w:jc w:val="both"/>
        <w:ind w:firstLine="640"/>
        <w:spacing w:after="0" w:line="258" w:lineRule="auto"/>
        <w:tabs>
          <w:tab w:leader="none" w:pos="9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The tax consequences of the amendments described above shall be borne solely by the Employee and the Employee agrees to bear such taxes and the Corporation or any Subsidiary (as defined in the RSU Agreements) shall be entitled to withhold all applicable taxes in connection with the RSUs, including as a result of the amendment to the terms of the existing RSUs as described above. It is clarified that the acceleration may impact the beneficial tax treatment under the trustee capital gains route. The Employee confirms that they have had the opportunity to receive legal and tax advice before executing this amendment.</w:t>
      </w:r>
    </w:p>
    <w:p>
      <w:pPr>
        <w:spacing w:after="0" w:line="183"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paragraphs are inserted for convenience and shall not affect any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w:t>
      </w:r>
    </w:p>
    <w:p>
      <w:pPr>
        <w:spacing w:after="0" w:line="206" w:lineRule="exact"/>
        <w:rPr>
          <w:rFonts w:ascii="Times New Roman" w:cs="Times New Roman" w:eastAsia="Times New Roman" w:hAnsi="Times New Roman"/>
          <w:sz w:val="18"/>
          <w:szCs w:val="18"/>
          <w:color w:val="auto"/>
        </w:rPr>
      </w:pPr>
    </w:p>
    <w:p>
      <w:pPr>
        <w:ind w:firstLine="640"/>
        <w:spacing w:after="0" w:line="282" w:lineRule="auto"/>
        <w:tabs>
          <w:tab w:leader="none" w:pos="9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Amendment shall be deemed severable and the invalidity or unenforceability of any provision shall not affect the validity or enforceability of the other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57" w:name="page58"/>
    <w:bookmarkEnd w:id="57"/>
    <w:p>
      <w:pPr>
        <w:jc w:val="both"/>
        <w:ind w:firstLine="640"/>
        <w:spacing w:after="0" w:line="254" w:lineRule="auto"/>
        <w:tabs>
          <w:tab w:leader="none" w:pos="9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Amendment shall be binding upon and shall inure to the benefit of the Corporation, its successors and assigns, and the Corporation shall require such successor or assign to expressly assume and agree to perform this Amendment in the same manner and to the same extent that the Corporation would be required to perform it if no such succession or assignment had taken place. The term “successors and assigns” as used herein shall mean a corporation or other entity acquiring all or substantially all the assets and business of the Corporation (including this Amendment) whether by operation of law or otherwise. Neither this Amendment nor any right or interest hereunder shall be assignable or transferable by the Employee, his beneficiaries or legal representatives, except by will or by the laws of descent and distribution. This Amendment shall inure to the benefit of and be enforceable by the Employee’s legal personal representative.</w:t>
      </w:r>
    </w:p>
    <w:p>
      <w:pPr>
        <w:spacing w:after="0" w:line="191" w:lineRule="exact"/>
        <w:rPr>
          <w:rFonts w:ascii="Times New Roman" w:cs="Times New Roman" w:eastAsia="Times New Roman" w:hAnsi="Times New Roman"/>
          <w:sz w:val="18"/>
          <w:szCs w:val="18"/>
          <w:color w:val="auto"/>
        </w:rPr>
      </w:pPr>
    </w:p>
    <w:p>
      <w:pPr>
        <w:ind w:right="20" w:firstLine="640"/>
        <w:spacing w:after="0" w:line="282" w:lineRule="auto"/>
        <w:tabs>
          <w:tab w:leader="none" w:pos="9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shall be deemed an original copy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58" w:name="page59"/>
    <w:bookmarkEnd w:id="58"/>
    <w:p>
      <w:pPr>
        <w:ind w:left="200"/>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date first above written.</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25"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7774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Amnon Shashua</w:t>
      </w:r>
    </w:p>
    <w:p>
      <w:pPr>
        <w:spacing w:after="0" w:line="23" w:lineRule="exact"/>
        <w:rPr>
          <w:sz w:val="20"/>
          <w:szCs w:val="20"/>
          <w:color w:val="auto"/>
        </w:rPr>
      </w:pPr>
    </w:p>
    <w:p>
      <w:pPr>
        <w:jc w:val="right"/>
        <w:ind w:right="1199"/>
        <w:spacing w:after="0"/>
        <w:tabs>
          <w:tab w:leader="none" w:pos="27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7774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Moran Shemesh Rojansky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10.25</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AMENDMENT TO RESTRICTED STOCK UNIT AGREEMENTS</w:t>
      </w:r>
    </w:p>
    <w:p>
      <w:pPr>
        <w:spacing w:after="0" w:line="225" w:lineRule="exact"/>
        <w:rPr>
          <w:sz w:val="20"/>
          <w:szCs w:val="20"/>
          <w:color w:val="auto"/>
        </w:rPr>
      </w:pPr>
    </w:p>
    <w:p>
      <w:pPr>
        <w:jc w:val="both"/>
        <w:ind w:firstLine="647"/>
        <w:spacing w:after="0" w:line="225" w:lineRule="auto"/>
        <w:rPr>
          <w:sz w:val="20"/>
          <w:szCs w:val="20"/>
          <w:color w:val="auto"/>
        </w:rPr>
      </w:pPr>
      <w:r>
        <w:rPr>
          <w:rFonts w:ascii="Times New Roman" w:cs="Times New Roman" w:eastAsia="Times New Roman" w:hAnsi="Times New Roman"/>
          <w:sz w:val="18"/>
          <w:szCs w:val="18"/>
          <w:color w:val="auto"/>
        </w:rPr>
        <w:t>This Amendment to Restricted Stock Unit Agreements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effective as of October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Mobileye Global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Shai Shalev-Shwartz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are parties to certain Restricted Stock Unit Agreements for grants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July 23, 2026, and particularly on July 10, 2024 (grant No. 00006450), July 10, 2025 (grant No. 00011940), and July 10, 2026 (grant No. 00013921) (each an “</w:t>
      </w:r>
      <w:r>
        <w:rPr>
          <w:rFonts w:ascii="Times New Roman" w:cs="Times New Roman" w:eastAsia="Times New Roman" w:hAnsi="Times New Roman"/>
          <w:sz w:val="18"/>
          <w:szCs w:val="18"/>
          <w:b w:val="1"/>
          <w:bCs w:val="1"/>
          <w:color w:val="auto"/>
        </w:rPr>
        <w:t>RSU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RSU Agreements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have agreed to modify the RSU Agreements in certain respects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RSUs which are unvested as of the Effective Date;</w:t>
      </w:r>
    </w:p>
    <w:p>
      <w:pPr>
        <w:spacing w:after="0" w:line="15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desire to have the terms and conditions set forth in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any conflicting terms and conditions set forth in the RSU Agreements; and</w:t>
      </w:r>
    </w:p>
    <w:p>
      <w:pPr>
        <w:spacing w:after="0" w:line="155" w:lineRule="exact"/>
        <w:rPr>
          <w:sz w:val="20"/>
          <w:szCs w:val="20"/>
          <w:color w:val="auto"/>
        </w:rPr>
      </w:pPr>
    </w:p>
    <w:p>
      <w:pPr>
        <w:jc w:val="both"/>
        <w:ind w:firstLine="647"/>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any terms and conditions of the RSU Agreements that are not inconsistent with the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Amendment are understood and agreed to continue in full force and effect, without change.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contained in this Amendment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Corporation and the Employee, intending to be legally bound, hereby agree as follows:</w:t>
      </w:r>
    </w:p>
    <w:p>
      <w:pPr>
        <w:spacing w:after="0" w:line="159" w:lineRule="exact"/>
        <w:rPr>
          <w:sz w:val="20"/>
          <w:szCs w:val="20"/>
          <w:color w:val="auto"/>
        </w:rPr>
      </w:pPr>
    </w:p>
    <w:p>
      <w:pPr>
        <w:ind w:firstLine="640"/>
        <w:spacing w:after="0" w:line="282" w:lineRule="auto"/>
        <w:tabs>
          <w:tab w:leader="none" w:pos="12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Section 6 of each of the RSU Agreements is hereby amended by adding the following paragraph to the end thereof as set forth below:</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Change in Control Double Trigger Acceleration:</w:t>
      </w:r>
    </w:p>
    <w:p>
      <w:pPr>
        <w:spacing w:after="0" w:line="229"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Notwithstanding any terms or conditions set forth herein to the contrary, in the event that all the following events occur: (i) the first Change in Control occurring after the Effective Date (the “</w:t>
      </w:r>
      <w:r>
        <w:rPr>
          <w:rFonts w:ascii="Times New Roman" w:cs="Times New Roman" w:eastAsia="Times New Roman" w:hAnsi="Times New Roman"/>
          <w:sz w:val="18"/>
          <w:szCs w:val="18"/>
          <w:b w:val="1"/>
          <w:bCs w:val="1"/>
          <w:color w:val="auto"/>
        </w:rPr>
        <w:t>Applicable Change in Control</w:t>
      </w:r>
      <w:r>
        <w:rPr>
          <w:rFonts w:ascii="Times New Roman" w:cs="Times New Roman" w:eastAsia="Times New Roman" w:hAnsi="Times New Roman"/>
          <w:sz w:val="18"/>
          <w:szCs w:val="18"/>
          <w:color w:val="auto"/>
        </w:rPr>
        <w:t>”) occurs, (ii) your employment is terminated by the Corporation or any Subsidiary without Cause (and without you being rehired by the Corporation or any Subsidiary as further described in this Section 6 above) or you voluntarily resign for Good Reason, in either case within three (3) months prior to the occurrence of the Applicable Change in Control (a “</w:t>
      </w:r>
      <w:r>
        <w:rPr>
          <w:rFonts w:ascii="Times New Roman" w:cs="Times New Roman" w:eastAsia="Times New Roman" w:hAnsi="Times New Roman"/>
          <w:sz w:val="18"/>
          <w:szCs w:val="18"/>
          <w:b w:val="1"/>
          <w:bCs w:val="1"/>
          <w:color w:val="auto"/>
        </w:rPr>
        <w:t>Pre-CIC Termination</w:t>
      </w:r>
      <w:r>
        <w:rPr>
          <w:rFonts w:ascii="Times New Roman" w:cs="Times New Roman" w:eastAsia="Times New Roman" w:hAnsi="Times New Roman"/>
          <w:sz w:val="18"/>
          <w:szCs w:val="18"/>
          <w:color w:val="auto"/>
        </w:rPr>
        <w:t>”) or eighteen (18) months following the occurrence of the Applicable Change in Control and (iii) you sign and do not revoke a Release, and such Release becomes effective within 60 days following the date your employment terminates, then each of your RSUs or any award received in exchange thereof in connection with the Applicable Change in Control which is unvested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7" w:right="999" w:bottom="1440" w:gutter="0" w:footer="0" w:header="0"/>
        </w:sectPr>
      </w:pPr>
    </w:p>
    <w:bookmarkStart w:id="60" w:name="page61"/>
    <w:bookmarkEnd w:id="60"/>
    <w:p>
      <w:pPr>
        <w:jc w:val="both"/>
        <w:ind w:left="1160"/>
        <w:spacing w:after="0" w:line="258" w:lineRule="auto"/>
        <w:rPr>
          <w:sz w:val="20"/>
          <w:szCs w:val="20"/>
          <w:color w:val="auto"/>
        </w:rPr>
      </w:pPr>
      <w:r>
        <w:rPr>
          <w:rFonts w:ascii="Times New Roman" w:cs="Times New Roman" w:eastAsia="Times New Roman" w:hAnsi="Times New Roman"/>
          <w:sz w:val="18"/>
          <w:szCs w:val="18"/>
          <w:color w:val="auto"/>
        </w:rPr>
        <w:t xml:space="preserve">of the date of termination shall fully accelerate and become fully vested on the date of effectiveness of the Release,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such 60-day period spans two calendar years, such vesting shall occur on the first day of the later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calendar years. In the case of a Pre-CIC Termination, such acceleration shall occur after the occurrence of the Applicable Change in Control and shall be subject to you signing and non-revocation of a bring-down Release at such time.</w:t>
      </w:r>
    </w:p>
    <w:p>
      <w:pPr>
        <w:spacing w:after="0" w:line="183" w:lineRule="exact"/>
        <w:rPr>
          <w:sz w:val="20"/>
          <w:szCs w:val="20"/>
          <w:color w:val="auto"/>
        </w:rPr>
      </w:pPr>
    </w:p>
    <w:p>
      <w:pPr>
        <w:jc w:val="both"/>
        <w:ind w:left="1160"/>
        <w:spacing w:after="0" w:line="256" w:lineRule="auto"/>
        <w:rPr>
          <w:sz w:val="20"/>
          <w:szCs w:val="20"/>
          <w:color w:val="auto"/>
        </w:rPr>
      </w:pPr>
      <w:r>
        <w:rPr>
          <w:rFonts w:ascii="Times New Roman" w:cs="Times New Roman" w:eastAsia="Times New Roman" w:hAnsi="Times New Roman"/>
          <w:sz w:val="18"/>
          <w:szCs w:val="18"/>
          <w:color w:val="auto"/>
        </w:rPr>
        <w:t>For the avoidance of doubt, the protection provided under this Section 6 is a one-time protection that applies only in connection with the Applicable Change in Control. The 18-month period following the occurrence of an Applicable Change in Control shall commence on the date of the Applicable Change of Control and shall not restart, renew, extend or create any new protection period or otherwise give rise to any additional right or benefit under this Section 6 as a result of any subsequent Change in Control, whether or not you remain employed following the Applicable Change in Control.</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Definitions:</w:t>
      </w:r>
    </w:p>
    <w:p>
      <w:pPr>
        <w:spacing w:after="0" w:line="2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one or more of the following events:</w:t>
      </w:r>
    </w:p>
    <w:p>
      <w:pPr>
        <w:spacing w:after="0" w:line="229" w:lineRule="exact"/>
        <w:rPr>
          <w:sz w:val="20"/>
          <w:szCs w:val="20"/>
          <w:color w:val="auto"/>
        </w:rPr>
      </w:pPr>
    </w:p>
    <w:p>
      <w:pPr>
        <w:jc w:val="both"/>
        <w:ind w:left="1440" w:hanging="245"/>
        <w:spacing w:after="0" w:line="255" w:lineRule="auto"/>
        <w:tabs>
          <w:tab w:leader="none" w:pos="14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any group of Persons (as defined below) acting together which would constitute a “group” for purposes of Section 13(d) of the United States Securities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becomes the Beneficial Owner (as defined below), directly or indirectly, of securities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(not including in the securities beneficially owned by such Person any securities acquired directly from the Corporation or its affiliates) representing greater than fifty percent (50%) of the combined voting power of the Corporation’s then outstanding securities, excluding any Person who becomes such a Beneficial Owner in connection with a transaction described in clause (I) of paragraph (iii) below</w:t>
      </w:r>
    </w:p>
    <w:p>
      <w:pPr>
        <w:spacing w:after="0" w:line="189" w:lineRule="exact"/>
        <w:rPr>
          <w:sz w:val="20"/>
          <w:szCs w:val="20"/>
          <w:color w:val="auto"/>
        </w:rPr>
      </w:pPr>
    </w:p>
    <w:p>
      <w:pPr>
        <w:jc w:val="both"/>
        <w:ind w:left="1440" w:hanging="242"/>
        <w:spacing w:after="0" w:line="254" w:lineRule="auto"/>
        <w:rPr>
          <w:sz w:val="20"/>
          <w:szCs w:val="20"/>
          <w:color w:val="auto"/>
        </w:rPr>
      </w:pPr>
      <w:r>
        <w:rPr>
          <w:rFonts w:ascii="Times New Roman" w:cs="Times New Roman" w:eastAsia="Times New Roman" w:hAnsi="Times New Roman"/>
          <w:sz w:val="18"/>
          <w:szCs w:val="18"/>
          <w:color w:val="auto"/>
        </w:rPr>
        <w:t>(ii)the following individuals cease for any reason to constitute a majority of the number of directors then serving on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Effective Date or whose appointment, election or nomination for election was previously so approved or recommended;</w:t>
      </w:r>
    </w:p>
    <w:p>
      <w:pPr>
        <w:spacing w:after="0" w:line="192" w:lineRule="exact"/>
        <w:rPr>
          <w:sz w:val="20"/>
          <w:szCs w:val="20"/>
          <w:color w:val="auto"/>
        </w:rPr>
      </w:pPr>
    </w:p>
    <w:p>
      <w:pPr>
        <w:jc w:val="both"/>
        <w:ind w:left="1460" w:right="20" w:hanging="254"/>
        <w:spacing w:after="0" w:line="266" w:lineRule="auto"/>
        <w:rPr>
          <w:sz w:val="20"/>
          <w:szCs w:val="20"/>
          <w:color w:val="auto"/>
        </w:rPr>
      </w:pPr>
      <w:r>
        <w:rPr>
          <w:rFonts w:ascii="Times New Roman" w:cs="Times New Roman" w:eastAsia="Times New Roman" w:hAnsi="Times New Roman"/>
          <w:sz w:val="18"/>
          <w:szCs w:val="18"/>
          <w:color w:val="auto"/>
        </w:rPr>
        <w:t>(iii)there is consummated a merger, amalgamation or consolidation of the Corporation with any other corporation or other entity, other than (I) a merger, amalgamation or consolidation (A) which results in the voting securities of the Corporation outstanding immediately prior to such merger, amalgamation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61" w:name="page62"/>
    <w:bookmarkEnd w:id="61"/>
    <w:p>
      <w:pPr>
        <w:jc w:val="both"/>
        <w:ind w:left="1460"/>
        <w:spacing w:after="0" w:line="252" w:lineRule="auto"/>
        <w:rPr>
          <w:sz w:val="20"/>
          <w:szCs w:val="20"/>
          <w:color w:val="auto"/>
        </w:rPr>
      </w:pPr>
      <w:r>
        <w:rPr>
          <w:rFonts w:ascii="Times New Roman" w:cs="Times New Roman" w:eastAsia="Times New Roman" w:hAnsi="Times New Roman"/>
          <w:sz w:val="18"/>
          <w:szCs w:val="18"/>
          <w:color w:val="auto"/>
        </w:rPr>
        <w:t>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of its subsidiaries at least fifty percent (50%) of the combined voting power of the securities of the Corporation or such surviving entity or any parent thereof outstanding immediately after such merger, amalgamation or consolidation and (B) immediately following which the individuals who comprise the Board immediately prior thereto constitute at least a majority of the board of directors of the Corporation, the entity surviving such merger, amalgamation or consolidation or, if the Corporation or the entity surviving such merger, amalgamation or consolidation is then a subsidiary, the ultimate parent thereof, or (II) a merger, amalgamation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greater than fifty percent (50%) of the combined voting power of the Corporation’s then outstanding securities; or</w:t>
      </w:r>
    </w:p>
    <w:p>
      <w:pPr>
        <w:spacing w:after="0" w:line="197" w:lineRule="exact"/>
        <w:rPr>
          <w:sz w:val="20"/>
          <w:szCs w:val="20"/>
          <w:color w:val="auto"/>
        </w:rPr>
      </w:pPr>
    </w:p>
    <w:p>
      <w:pPr>
        <w:jc w:val="both"/>
        <w:ind w:left="1460" w:hanging="253"/>
        <w:spacing w:after="0" w:line="254" w:lineRule="auto"/>
        <w:tabs>
          <w:tab w:leader="none" w:pos="149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an agreement for the sale or disposition by the Corporation of all or substantially all of the Corporation’s assets, other than (A) a sale or disposition by the Corporation of all or substantially all of the Corporation’s assets to an entity, at least fifty percent (50%) of the combined voting power of the voting securities of which are owned by stockholders of the Corporation following the completion of such transaction in substantially the same proportions as their ownership of the Corporation immediately prior to such sale or</w:t>
      </w:r>
    </w:p>
    <w:p>
      <w:pPr>
        <w:spacing w:after="0" w:line="3" w:lineRule="exact"/>
        <w:rPr>
          <w:rFonts w:ascii="Times New Roman" w:cs="Times New Roman" w:eastAsia="Times New Roman" w:hAnsi="Times New Roman"/>
          <w:sz w:val="18"/>
          <w:szCs w:val="18"/>
          <w:color w:val="auto"/>
        </w:rPr>
      </w:pPr>
    </w:p>
    <w:p>
      <w:pPr>
        <w:jc w:val="both"/>
        <w:ind w:left="14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 sale or disposition of all or substantially all of the Corporation’s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ascribed to such term in Rule 13d-3 under the Exchange Act.</w:t>
      </w:r>
    </w:p>
    <w:p>
      <w:pPr>
        <w:spacing w:after="0" w:line="225" w:lineRule="exact"/>
        <w:rPr>
          <w:sz w:val="20"/>
          <w:szCs w:val="20"/>
          <w:color w:val="auto"/>
        </w:rPr>
      </w:pPr>
    </w:p>
    <w:p>
      <w:pPr>
        <w:jc w:val="both"/>
        <w:ind w:left="11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any of the following events: (i) you commit a material breach of the Proprietary Information and Inventions Agreement, as shall be determined in the reasonable opinion of the Board, (ii) you commit a material breach of your Employment Agreement, RSU Agreements or this Amendment and for a period of 10 consecutive days fail to cure such breach (iii) you perform any act that entitles the Corporation or any Subsidiary to legally dismiss you without paying any severance pay in connection with such dismissal or (iv) you are convicted of a crime of moral turpitude or dishonesty.</w:t>
      </w:r>
    </w:p>
    <w:p>
      <w:pPr>
        <w:spacing w:after="0" w:line="182" w:lineRule="exact"/>
        <w:rPr>
          <w:sz w:val="20"/>
          <w:szCs w:val="20"/>
          <w:color w:val="auto"/>
        </w:rPr>
      </w:pPr>
    </w:p>
    <w:p>
      <w:pPr>
        <w:jc w:val="both"/>
        <w:ind w:left="1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occurrence, without your express written consent, of any of the following events: (i) a material reduction in your title,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62" w:name="page63"/>
    <w:bookmarkEnd w:id="62"/>
    <w:p>
      <w:pPr>
        <w:ind w:left="1160"/>
        <w:spacing w:after="0" w:line="261" w:lineRule="auto"/>
        <w:rPr>
          <w:sz w:val="20"/>
          <w:szCs w:val="20"/>
          <w:color w:val="auto"/>
        </w:rPr>
      </w:pPr>
      <w:r>
        <w:rPr>
          <w:rFonts w:ascii="Times New Roman" w:cs="Times New Roman" w:eastAsia="Times New Roman" w:hAnsi="Times New Roman"/>
          <w:sz w:val="18"/>
          <w:szCs w:val="18"/>
          <w:color w:val="auto"/>
        </w:rPr>
        <w:t>responsibilities or authority, or a material adverse change in your reporting relationships, (ii) a material reduction of your Salary, the Benefits, or any other material compensation or benefits as in effect on the Effective Date, or</w:t>
      </w:r>
    </w:p>
    <w:p>
      <w:pPr>
        <w:jc w:val="both"/>
        <w:ind w:left="1160" w:firstLine="8"/>
        <w:spacing w:after="0" w:line="253" w:lineRule="auto"/>
        <w:tabs>
          <w:tab w:leader="none" w:pos="147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reduction in your status to below 80% of full-time employment;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event shall constitute Good Reason unless (x) you provide written notice to your employer of the existence of the condition giving rise to Good Reason within 30 days of the initial occurrence of such condition, (y) the Corporation or your employer fail to cure such condition within 30 days following receipt of such notice and (z) you terminate employment within 30 days following the expiration of the cure period.</w:t>
      </w:r>
    </w:p>
    <w:p>
      <w:pPr>
        <w:spacing w:after="0" w:line="183" w:lineRule="exact"/>
        <w:rPr>
          <w:sz w:val="20"/>
          <w:szCs w:val="20"/>
          <w:color w:val="auto"/>
        </w:rPr>
      </w:pPr>
    </w:p>
    <w:p>
      <w:pPr>
        <w:jc w:val="both"/>
        <w:ind w:left="1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meaning ascribed to such term in Section 3(a)(9) of the Exchange Act and used in Sections 13(d) and 14(d) thereof, including a “group” as defined in Section 13(d) thereof.</w:t>
      </w:r>
    </w:p>
    <w:p>
      <w:pPr>
        <w:spacing w:after="0" w:line="159" w:lineRule="exact"/>
        <w:rPr>
          <w:sz w:val="20"/>
          <w:szCs w:val="20"/>
          <w:color w:val="auto"/>
        </w:rPr>
      </w:pPr>
    </w:p>
    <w:p>
      <w:pPr>
        <w:jc w:val="both"/>
        <w:ind w:left="1160"/>
        <w:spacing w:after="0" w:line="256" w:lineRule="auto"/>
        <w:rPr>
          <w:sz w:val="20"/>
          <w:szCs w:val="20"/>
          <w:color w:val="auto"/>
        </w:rPr>
      </w:pPr>
      <w:r>
        <w:rPr>
          <w:rFonts w:ascii="Times New Roman" w:cs="Times New Roman" w:eastAsia="Times New Roman" w:hAnsi="Times New Roman"/>
          <w:sz w:val="18"/>
          <w:szCs w:val="18"/>
          <w:color w:val="auto"/>
        </w:rPr>
        <w:t>Notwithstanding the foregoing, for each RSU that constitutes deferred compensation under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to the extent required to avoid accelerated taxation and/or tax penalties under Section 409A of the Code, the Applicable Change in Control shall be deemed to have occurred under the Plan with respect to such RSU only if a change in the ownership or effective control of the Corporation or a change in ownership of a substantial portion of the assets of the Corporation shall also be deemed to have occurred under Section 409A of the Code.</w:t>
      </w:r>
    </w:p>
    <w:p>
      <w:pPr>
        <w:spacing w:after="0" w:line="187" w:lineRule="exact"/>
        <w:rPr>
          <w:sz w:val="20"/>
          <w:szCs w:val="20"/>
          <w:color w:val="auto"/>
        </w:rPr>
      </w:pPr>
    </w:p>
    <w:p>
      <w:pPr>
        <w:jc w:val="both"/>
        <w:ind w:left="1160"/>
        <w:spacing w:after="0" w:line="254" w:lineRule="auto"/>
        <w:rPr>
          <w:sz w:val="20"/>
          <w:szCs w:val="20"/>
          <w:color w:val="auto"/>
        </w:rPr>
      </w:pPr>
      <w:r>
        <w:rPr>
          <w:rFonts w:ascii="Times New Roman" w:cs="Times New Roman" w:eastAsia="Times New Roman" w:hAnsi="Times New Roman"/>
          <w:sz w:val="18"/>
          <w:szCs w:val="18"/>
          <w:color w:val="auto"/>
        </w:rPr>
        <w:t>Notwithstanding anything in this Amendment or the RSU Agreements to the contrary, if any payment or distribution to you pursuant to the RSU Agreements, this Amendment, or otherwise (the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such Payment shall either be (A) delivered in full or (B) delivered as to such lesser extent which would result in no portion of such Payment being subject to the Excise Tax, whichever of the foregoing amounts, taking into account the applicable federal, state and local income taxes and the Excise Tax, results in your receipt on an after-tax basis, of the largest payment, notwithstanding that all or some portion the Payment may be taxable under Section 4999 of the Code.</w:t>
      </w:r>
    </w:p>
    <w:p>
      <w:pPr>
        <w:spacing w:after="0" w:line="192" w:lineRule="exact"/>
        <w:rPr>
          <w:sz w:val="20"/>
          <w:szCs w:val="20"/>
          <w:color w:val="auto"/>
        </w:rPr>
      </w:pPr>
    </w:p>
    <w:p>
      <w:pPr>
        <w:jc w:val="both"/>
        <w:ind w:left="1160"/>
        <w:spacing w:after="0" w:line="266" w:lineRule="auto"/>
        <w:rPr>
          <w:sz w:val="20"/>
          <w:szCs w:val="20"/>
          <w:color w:val="auto"/>
        </w:rPr>
      </w:pPr>
      <w:r>
        <w:rPr>
          <w:rFonts w:ascii="Times New Roman" w:cs="Times New Roman" w:eastAsia="Times New Roman" w:hAnsi="Times New Roman"/>
          <w:sz w:val="18"/>
          <w:szCs w:val="18"/>
          <w:color w:val="auto"/>
        </w:rPr>
        <w:t>In addition to the aforementioned, if upon the Applicable Change in Control unvested RSUs are to be cancelled for no consideration, all unvested RSUs as of closing of the Applicable Change in Control shall be fully accelerated immediately prior to such closing.</w:t>
      </w:r>
    </w:p>
    <w:p>
      <w:pPr>
        <w:spacing w:after="0" w:line="172" w:lineRule="exact"/>
        <w:rPr>
          <w:sz w:val="20"/>
          <w:szCs w:val="20"/>
          <w:color w:val="auto"/>
        </w:rPr>
      </w:pPr>
    </w:p>
    <w:p>
      <w:pPr>
        <w:jc w:val="both"/>
        <w:ind w:left="1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“Release” </w:t>
      </w:r>
      <w:r>
        <w:rPr>
          <w:rFonts w:ascii="Times New Roman" w:cs="Times New Roman" w:eastAsia="Times New Roman" w:hAnsi="Times New Roman"/>
          <w:sz w:val="18"/>
          <w:szCs w:val="18"/>
          <w:color w:val="auto"/>
        </w:rPr>
        <w:t>means a release of claims document in a form satisfactory to the Corporation and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employing Subsidiary, such release shall include, among other things: (a) a general waiver and release of claims against the Corporation, its Subsidiaries and their respective officers, directors and employees, (b) a confirmation that you have not breached, and an undertaking not to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63" w:name="page64"/>
    <w:bookmarkEnd w:id="63"/>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any intellectual property obligations owed to the Corporation or any Subsidiary, (c) a confirmation that you have not breached, and an undertaking not to breach, any confidentiality obligations owed to the Corporation or any Subsidiary, (d) non-competition and non-solicitation undertakings of at least 12 months following end of employment, and (e) an acknowledgment that the acceleration of the RSUs constitutes additional consideration for the undertakings set forth in clauses (b) through (d) above, and that upon any material breach of such undertakings, the Corporation shall be entitled, without limiting any other remedy, to recover from you any shares issued upon settlement of the accelerated RSUs (or the net proceeds thereof, if sold or transferred) and to cancel any accelerated RSUs not yet settled.</w:t>
      </w:r>
    </w:p>
    <w:p>
      <w:pPr>
        <w:spacing w:after="0" w:line="192" w:lineRule="exact"/>
        <w:rPr>
          <w:sz w:val="20"/>
          <w:szCs w:val="20"/>
          <w:color w:val="auto"/>
        </w:rPr>
      </w:pPr>
    </w:p>
    <w:p>
      <w:pPr>
        <w:ind w:firstLine="640"/>
        <w:spacing w:after="0" w:line="282" w:lineRule="auto"/>
        <w:tabs>
          <w:tab w:leader="none" w:pos="12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Transition</w:t>
      </w:r>
      <w:r>
        <w:rPr>
          <w:rFonts w:ascii="Times New Roman" w:cs="Times New Roman" w:eastAsia="Times New Roman" w:hAnsi="Times New Roman"/>
          <w:sz w:val="18"/>
          <w:szCs w:val="18"/>
          <w:color w:val="auto"/>
        </w:rPr>
        <w:t>. Section 6 of each of the RSU Agreements is hereby amended by adding the following paragraph to the end thereof (following the Change in Control paragraph added pursuant to Section 1 above) as set forth below:</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Transition Double Trigger Acceleration.</w:t>
      </w:r>
    </w:p>
    <w:p>
      <w:pPr>
        <w:spacing w:after="0" w:line="22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 terms or conditions set forth herein to the contrary, in the event that all of the following occur (i) an Executive Transition occurs, (ii) your employment is terminated by the Corporation or any Subsidiary without Cause (and without you being rehired by the Corporation or any Subsidiary as further described in this Section 6 above) within 18 months following the occurrence of the Executive Transition and (iii) you sign and do not revoke the Release and such Release becomes effective within 60 days following the date your employment terminates, then each unvested RSU as of the date of termination shall fully accelerate and become fully vested on the date of effectiveness of the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60-day period spans two calendar years, such vesting shall occur on the first day of the later of such calendar years. For purposes of this Agreement, an “</w:t>
      </w:r>
      <w:r>
        <w:rPr>
          <w:rFonts w:ascii="Times New Roman" w:cs="Times New Roman" w:eastAsia="Times New Roman" w:hAnsi="Times New Roman"/>
          <w:sz w:val="18"/>
          <w:szCs w:val="18"/>
          <w:b w:val="1"/>
          <w:bCs w:val="1"/>
          <w:color w:val="auto"/>
        </w:rPr>
        <w:t>Executive Transition</w:t>
      </w:r>
      <w:r>
        <w:rPr>
          <w:rFonts w:ascii="Times New Roman" w:cs="Times New Roman" w:eastAsia="Times New Roman" w:hAnsi="Times New Roman"/>
          <w:sz w:val="18"/>
          <w:szCs w:val="18"/>
          <w:color w:val="auto"/>
        </w:rPr>
        <w:t>” means an event where the founder and Chief Executive Officer of the Corporation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as of the Effective Date ceases to be the CEO for any reason.</w:t>
      </w:r>
    </w:p>
    <w:p>
      <w:pPr>
        <w:spacing w:after="0" w:line="188" w:lineRule="exact"/>
        <w:rPr>
          <w:sz w:val="20"/>
          <w:szCs w:val="20"/>
          <w:color w:val="auto"/>
        </w:rPr>
      </w:pPr>
    </w:p>
    <w:p>
      <w:pPr>
        <w:jc w:val="both"/>
        <w:ind w:firstLine="640"/>
        <w:spacing w:after="0" w:line="258"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The tax consequences of the amendments described above shall be borne solely by the Employee and the Employee agrees to bear such taxes and the Corporation or any Subsidiary (as defined in the RSU Agreements) shall be entitled to withhold all applicable taxes in connection with the RSUs, including as a result of the amendment to the terms of the existing RSUs as described above. It is clarified that the acceleration may impact the beneficial tax treatment under the trustee capital gains route. The Employee confirms that they have had the opportunity to receive legal and tax advice before executing this amendment.</w:t>
      </w:r>
    </w:p>
    <w:p>
      <w:pPr>
        <w:spacing w:after="0" w:line="183"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paragraphs are inserted for convenience and shall not affect any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w:t>
      </w:r>
    </w:p>
    <w:p>
      <w:pPr>
        <w:spacing w:after="0" w:line="206" w:lineRule="exact"/>
        <w:rPr>
          <w:rFonts w:ascii="Times New Roman" w:cs="Times New Roman" w:eastAsia="Times New Roman" w:hAnsi="Times New Roman"/>
          <w:sz w:val="18"/>
          <w:szCs w:val="18"/>
          <w:color w:val="auto"/>
        </w:rPr>
      </w:pPr>
    </w:p>
    <w:p>
      <w:pPr>
        <w:ind w:right="20" w:firstLine="640"/>
        <w:spacing w:after="0" w:line="282" w:lineRule="auto"/>
        <w:tabs>
          <w:tab w:leader="none" w:pos="12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Amendment shall be deemed severable and the invalidity or unenforceability of any provision shall not affect the validity or enforceability of the other provisions hereof.</w:t>
      </w:r>
    </w:p>
    <w:p>
      <w:pPr>
        <w:spacing w:after="0" w:line="161"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Amendment shall be binding upon and shall inure to the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64" w:name="page65"/>
    <w:bookmarkEnd w:id="64"/>
    <w:p>
      <w:pPr>
        <w:jc w:val="both"/>
        <w:spacing w:after="0" w:line="255" w:lineRule="auto"/>
        <w:rPr>
          <w:sz w:val="20"/>
          <w:szCs w:val="20"/>
          <w:color w:val="auto"/>
        </w:rPr>
      </w:pPr>
      <w:r>
        <w:rPr>
          <w:rFonts w:ascii="Times New Roman" w:cs="Times New Roman" w:eastAsia="Times New Roman" w:hAnsi="Times New Roman"/>
          <w:sz w:val="18"/>
          <w:szCs w:val="18"/>
          <w:color w:val="auto"/>
        </w:rPr>
        <w:t>of the Corporation, its successors and assigns, and the Corporation shall require such successor or assign to expressly assume and agree to perform this Amendment in the same manner and to the same extent that the Corporation would be required to perform it if no such succession or assignment had taken place. The term “successors and assigns” as used herein shall mean a corporation or other entity acquiring all or substantially all the assets and business of the Corporation (including this Amendment) whether by operation of law or otherwise. Neither this Amendment nor any right or interest hereunder shall be assignable or transferable by the Employee, his beneficiaries or legal representatives, except by will or by the laws of descent and distribution. This Amendment shall inure to the benefit of and be enforceable by the Employee’s legal personal representative.</w:t>
      </w:r>
    </w:p>
    <w:p>
      <w:pPr>
        <w:spacing w:after="0" w:line="189" w:lineRule="exact"/>
        <w:rPr>
          <w:sz w:val="20"/>
          <w:szCs w:val="20"/>
          <w:color w:val="auto"/>
        </w:rPr>
      </w:pPr>
    </w:p>
    <w:p>
      <w:pPr>
        <w:ind w:right="20" w:firstLine="640"/>
        <w:spacing w:after="0" w:line="282" w:lineRule="auto"/>
        <w:tabs>
          <w:tab w:leader="none" w:pos="12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shall be deemed an original copy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65" w:name="page66"/>
    <w:bookmarkEnd w:id="65"/>
    <w:p>
      <w:pPr>
        <w:ind w:left="520"/>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date first above written.</w:t>
      </w:r>
    </w:p>
    <w:p>
      <w:pPr>
        <w:spacing w:after="0" w:line="24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29"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25" w:lineRule="exact"/>
        <w:rPr>
          <w:sz w:val="20"/>
          <w:szCs w:val="20"/>
          <w:color w:val="auto"/>
        </w:rPr>
      </w:pPr>
    </w:p>
    <w:tbl>
      <w:tblPr>
        <w:tblLayout w:type="fixed"/>
        <w:tblInd w:w="44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Amnon Shashua</w:t>
            </w:r>
          </w:p>
        </w:tc>
      </w:tr>
      <w:tr>
        <w:trPr>
          <w:trHeight w:val="191"/>
        </w:trPr>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Amnon Shashua</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432"/>
        </w:trPr>
        <w:tc>
          <w:tcPr>
            <w:tcW w:w="504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EMPLOYEE</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Shai Shalev-Shwartz</w:t>
            </w:r>
          </w:p>
        </w:tc>
      </w:tr>
      <w:tr>
        <w:trPr>
          <w:trHeight w:val="228"/>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Shai Shalev-Shwartz</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10.26</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AMENDMENT TO RESTRICTED STOCK UNIT AGREEMENTS</w:t>
      </w:r>
    </w:p>
    <w:p>
      <w:pPr>
        <w:spacing w:after="0" w:line="22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This Amendment to Restricted Stock Unit Agreements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effective as of October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Mobileye Global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Boaz Ouriel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are parties to certain Restricted Stock Unit Agreements for grants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July 23, 2026, and particularly on July 10, 2024 (grant No. 00006396), July 10, 2025 (grant No. 00011941), and July 10, 2026 (grant No. 00013872) (each an “</w:t>
      </w:r>
      <w:r>
        <w:rPr>
          <w:rFonts w:ascii="Times New Roman" w:cs="Times New Roman" w:eastAsia="Times New Roman" w:hAnsi="Times New Roman"/>
          <w:sz w:val="18"/>
          <w:szCs w:val="18"/>
          <w:b w:val="1"/>
          <w:bCs w:val="1"/>
          <w:color w:val="auto"/>
        </w:rPr>
        <w:t>RSU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RSU Agreements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have agreed to modify the RSU Agreements in certain respects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RSUs which are unvested as of the Effective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desire to have the terms and conditions set forth in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any conflicting terms and conditions set forth in the RSU Agreements;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any terms and conditions of the RSU Agreements that are not inconsistent with the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Amendment are understood and agreed to continue in full force and effect, without change.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contained in this Amendment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Corporation and the Employee, intending to be legally bound, hereby agree as follows:</w:t>
      </w:r>
    </w:p>
    <w:p>
      <w:pPr>
        <w:spacing w:after="0" w:line="159" w:lineRule="exact"/>
        <w:rPr>
          <w:sz w:val="20"/>
          <w:szCs w:val="20"/>
          <w:color w:val="auto"/>
        </w:rPr>
      </w:pPr>
    </w:p>
    <w:p>
      <w:pPr>
        <w:ind w:firstLine="640"/>
        <w:spacing w:after="0" w:line="282" w:lineRule="auto"/>
        <w:tabs>
          <w:tab w:leader="none" w:pos="12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Section 6 of each of the RSU Agreements is hereby amended by adding the following paragraph to the end thereof as set forth below:</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Change in Control Double Trigger Acceleration:</w:t>
      </w:r>
    </w:p>
    <w:p>
      <w:pPr>
        <w:spacing w:after="0" w:line="229" w:lineRule="exact"/>
        <w:rPr>
          <w:sz w:val="20"/>
          <w:szCs w:val="20"/>
          <w:color w:val="auto"/>
        </w:rPr>
      </w:pPr>
    </w:p>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Notwithstanding any terms or conditions set forth herein to the contrary, in the event that all the following events occur: (i) the first Change in Control occurring after the Effective Date (the “</w:t>
      </w:r>
      <w:r>
        <w:rPr>
          <w:rFonts w:ascii="Times New Roman" w:cs="Times New Roman" w:eastAsia="Times New Roman" w:hAnsi="Times New Roman"/>
          <w:sz w:val="18"/>
          <w:szCs w:val="18"/>
          <w:b w:val="1"/>
          <w:bCs w:val="1"/>
          <w:color w:val="auto"/>
        </w:rPr>
        <w:t>Applicable Change in Control</w:t>
      </w:r>
      <w:r>
        <w:rPr>
          <w:rFonts w:ascii="Times New Roman" w:cs="Times New Roman" w:eastAsia="Times New Roman" w:hAnsi="Times New Roman"/>
          <w:sz w:val="18"/>
          <w:szCs w:val="18"/>
          <w:color w:val="auto"/>
        </w:rPr>
        <w:t>”) occurs, (ii) your employment is terminated by the Corporation or any Subsidiary without Cause (and without you being rehired by the Corporation or any Subsidiary as further described in this Section 6 above) or you voluntarily resign for Good Reason, in either case within three (3) months prior to the occurrence of the Applicable Change in Control (a “</w:t>
      </w:r>
      <w:r>
        <w:rPr>
          <w:rFonts w:ascii="Times New Roman" w:cs="Times New Roman" w:eastAsia="Times New Roman" w:hAnsi="Times New Roman"/>
          <w:sz w:val="18"/>
          <w:szCs w:val="18"/>
          <w:b w:val="1"/>
          <w:bCs w:val="1"/>
          <w:color w:val="auto"/>
        </w:rPr>
        <w:t>Pre-CIC Termination</w:t>
      </w:r>
      <w:r>
        <w:rPr>
          <w:rFonts w:ascii="Times New Roman" w:cs="Times New Roman" w:eastAsia="Times New Roman" w:hAnsi="Times New Roman"/>
          <w:sz w:val="18"/>
          <w:szCs w:val="18"/>
          <w:color w:val="auto"/>
        </w:rPr>
        <w:t>”) or eighteen (18) months following the occurrence of the Applicable Change in Control and (iii) you sign and do not revoke a Release, and such Release becomes effective within 60 days following the date your employment terminates, then each of your RSUs or any award received in exchange thereof in connection with the Applicable Change in Control which is unvested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7" w:right="999" w:bottom="1440" w:gutter="0" w:footer="0" w:header="0"/>
        </w:sectPr>
      </w:pPr>
    </w:p>
    <w:bookmarkStart w:id="67" w:name="page68"/>
    <w:bookmarkEnd w:id="67"/>
    <w:p>
      <w:pPr>
        <w:jc w:val="both"/>
        <w:ind w:left="1160"/>
        <w:spacing w:after="0" w:line="258" w:lineRule="auto"/>
        <w:rPr>
          <w:sz w:val="20"/>
          <w:szCs w:val="20"/>
          <w:color w:val="auto"/>
        </w:rPr>
      </w:pPr>
      <w:r>
        <w:rPr>
          <w:rFonts w:ascii="Times New Roman" w:cs="Times New Roman" w:eastAsia="Times New Roman" w:hAnsi="Times New Roman"/>
          <w:sz w:val="18"/>
          <w:szCs w:val="18"/>
          <w:color w:val="auto"/>
        </w:rPr>
        <w:t xml:space="preserve">of the date of termination shall fully accelerate and become fully vested on the date of effectiveness of the Release,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such 60-day period spans two calendar years, such vesting shall occur on the first day of the later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such calendar years. In the case of a Pre-CIC Termination, such acceleration shall occur after the occurrence of the Applicable Change in Control and shall be subject to you signing and non-revocation of a bring-down Release at such time.</w:t>
      </w:r>
    </w:p>
    <w:p>
      <w:pPr>
        <w:spacing w:after="0" w:line="183" w:lineRule="exact"/>
        <w:rPr>
          <w:sz w:val="20"/>
          <w:szCs w:val="20"/>
          <w:color w:val="auto"/>
        </w:rPr>
      </w:pPr>
    </w:p>
    <w:p>
      <w:pPr>
        <w:jc w:val="both"/>
        <w:ind w:left="1160"/>
        <w:spacing w:after="0" w:line="256" w:lineRule="auto"/>
        <w:rPr>
          <w:sz w:val="20"/>
          <w:szCs w:val="20"/>
          <w:color w:val="auto"/>
        </w:rPr>
      </w:pPr>
      <w:r>
        <w:rPr>
          <w:rFonts w:ascii="Times New Roman" w:cs="Times New Roman" w:eastAsia="Times New Roman" w:hAnsi="Times New Roman"/>
          <w:sz w:val="18"/>
          <w:szCs w:val="18"/>
          <w:color w:val="auto"/>
        </w:rPr>
        <w:t>For the avoidance of doubt, the protection provided under this Section 6 is a one-time protection that applies only in connection with the Applicable Change in Control. The 18-month period following the occurrence of an Applicable Change in Control shall commence on the date of the Applicable Change of Control and shall not restart, renew, extend or create any new protection period or otherwise give rise to any additional right or benefit under this Section 6 as a result of any subsequent Change in Control, whether or not you remain employed following the Applicable Change in Control.</w:t>
      </w:r>
    </w:p>
    <w:p>
      <w:pPr>
        <w:spacing w:after="0" w:line="18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Definitions:</w:t>
      </w:r>
    </w:p>
    <w:p>
      <w:pPr>
        <w:spacing w:after="0" w:line="22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one or more of the following events:</w:t>
      </w:r>
    </w:p>
    <w:p>
      <w:pPr>
        <w:spacing w:after="0" w:line="229" w:lineRule="exact"/>
        <w:rPr>
          <w:sz w:val="20"/>
          <w:szCs w:val="20"/>
          <w:color w:val="auto"/>
        </w:rPr>
      </w:pPr>
    </w:p>
    <w:p>
      <w:pPr>
        <w:jc w:val="both"/>
        <w:ind w:left="1500" w:hanging="332"/>
        <w:spacing w:after="0" w:line="255"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any group of Persons (as defined below) acting together which would constitute a “group” for purposes of Section 13(d) of the United States Securities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becomes the Beneficial Owner (as defined below), directly or indirectly, of securities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(not including in the securities beneficially owned by such Person any securities acquired directly from the Corporation or its affiliates) representing greater than fifty percent (50%) of the combined voting power of the Corporation’s then outstanding securities, excluding any Person who becomes such a Beneficial Owner in connection with a transaction described in clause (I) of paragraph (iii) below</w:t>
      </w:r>
    </w:p>
    <w:p>
      <w:pPr>
        <w:spacing w:after="0" w:line="188" w:lineRule="exact"/>
        <w:rPr>
          <w:rFonts w:ascii="Times New Roman" w:cs="Times New Roman" w:eastAsia="Times New Roman" w:hAnsi="Times New Roman"/>
          <w:sz w:val="18"/>
          <w:szCs w:val="18"/>
          <w:color w:val="auto"/>
        </w:rPr>
      </w:pPr>
    </w:p>
    <w:p>
      <w:pPr>
        <w:jc w:val="both"/>
        <w:ind w:left="1500" w:hanging="332"/>
        <w:spacing w:after="0" w:line="254"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on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Effective Date or whose appointment, election or nomination for election was previously so approved or recommended;</w:t>
      </w:r>
    </w:p>
    <w:p>
      <w:pPr>
        <w:spacing w:after="0" w:line="191" w:lineRule="exact"/>
        <w:rPr>
          <w:rFonts w:ascii="Times New Roman" w:cs="Times New Roman" w:eastAsia="Times New Roman" w:hAnsi="Times New Roman"/>
          <w:sz w:val="18"/>
          <w:szCs w:val="18"/>
          <w:color w:val="auto"/>
        </w:rPr>
      </w:pPr>
    </w:p>
    <w:p>
      <w:pPr>
        <w:jc w:val="both"/>
        <w:ind w:left="1500" w:hanging="332"/>
        <w:spacing w:after="0" w:line="266" w:lineRule="auto"/>
        <w:tabs>
          <w:tab w:leader="none" w:pos="15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amalgamation or consolidation of the Corporation with any other corporation or other entity, other than (I) a merger, amalgamation or consolidation (A) which results in the voting securities of the Corporation outstanding immediately prior to such merger, amalgamation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68" w:name="page69"/>
    <w:bookmarkEnd w:id="68"/>
    <w:p>
      <w:pPr>
        <w:jc w:val="both"/>
        <w:ind w:left="1500"/>
        <w:spacing w:after="0" w:line="252" w:lineRule="auto"/>
        <w:rPr>
          <w:sz w:val="20"/>
          <w:szCs w:val="20"/>
          <w:color w:val="auto"/>
        </w:rPr>
      </w:pPr>
      <w:r>
        <w:rPr>
          <w:rFonts w:ascii="Times New Roman" w:cs="Times New Roman" w:eastAsia="Times New Roman" w:hAnsi="Times New Roman"/>
          <w:sz w:val="18"/>
          <w:szCs w:val="18"/>
          <w:color w:val="auto"/>
        </w:rPr>
        <w:t>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of its subsidiaries at least fifty percent (50%) of the combined voting power of the securities of the Corporation or such surviving entity or any parent thereof outstanding immediately after such merger, amalgamation or consolidation and (B) immediately following which the individuals who comprise the Board immediately prior thereto constitute at least a majority of the board of directors of the Corporation, the entity surviving such merger, amalgamation or consolidation or, if the Corporation or the entity surviving such merger, amalgamation or consolidation is then a subsidiary, the ultimate parent thereof, or (II) a merger, amalgamation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greater than fifty percent (50%) of the combined voting power of the Corporation’s then outstanding securities; or</w:t>
      </w:r>
    </w:p>
    <w:p>
      <w:pPr>
        <w:spacing w:after="0" w:line="197" w:lineRule="exact"/>
        <w:rPr>
          <w:sz w:val="20"/>
          <w:szCs w:val="20"/>
          <w:color w:val="auto"/>
        </w:rPr>
      </w:pPr>
    </w:p>
    <w:p>
      <w:pPr>
        <w:jc w:val="both"/>
        <w:ind w:left="1500" w:hanging="332"/>
        <w:spacing w:after="0" w:line="254" w:lineRule="auto"/>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an agreement for the sale or disposition by the Corporation of all or substantially all of the Corporation’s assets, other than (A) a sale or disposition by the Corporation of all or substantially all of the Corporation’s assets to an entity, at least fifty percent (50%) of the combined voting power of the voting securities of which are owned by stockholders of the Corporation following the completion of such transaction in substantially the same proportions as their ownership of the Corporation immediately prior to such sale or (B) a sale or disposition of all or substantially all of the Corporation’s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ascribed to such term in Rule 13d-3 under the Exchange Act.</w:t>
      </w:r>
    </w:p>
    <w:p>
      <w:pPr>
        <w:spacing w:after="0" w:line="225" w:lineRule="exact"/>
        <w:rPr>
          <w:sz w:val="20"/>
          <w:szCs w:val="20"/>
          <w:color w:val="auto"/>
        </w:rPr>
      </w:pPr>
    </w:p>
    <w:p>
      <w:pPr>
        <w:jc w:val="both"/>
        <w:ind w:left="11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any of the following events: (i) you commit a material breach of the Proprietary Information and Inventions Agreement, as shall be determined in the reasonable opinion of the Board, (ii) you commit a material breach of your Employment Agreement, RSU Agreements or this Amendment and for a period of 10 consecutive days fail to cure such breach (iii) you perform any act that entitles the Corporation or any Subsidiary to legally dismiss you without paying any severance pay in connection with such dismissal or (iv) you are convicted of a crime of moral turpitude or dishonesty.</w:t>
      </w:r>
    </w:p>
    <w:p>
      <w:pPr>
        <w:spacing w:after="0" w:line="182" w:lineRule="exact"/>
        <w:rPr>
          <w:sz w:val="20"/>
          <w:szCs w:val="20"/>
          <w:color w:val="auto"/>
        </w:rPr>
      </w:pPr>
    </w:p>
    <w:p>
      <w:pPr>
        <w:jc w:val="both"/>
        <w:ind w:left="1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occurrence, without your express written consent, of any of the following events: (i) a material reduction in your title,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69" w:name="page70"/>
    <w:bookmarkEnd w:id="69"/>
    <w:p>
      <w:pPr>
        <w:ind w:left="1160"/>
        <w:spacing w:after="0" w:line="261" w:lineRule="auto"/>
        <w:rPr>
          <w:sz w:val="20"/>
          <w:szCs w:val="20"/>
          <w:color w:val="auto"/>
        </w:rPr>
      </w:pPr>
      <w:r>
        <w:rPr>
          <w:rFonts w:ascii="Times New Roman" w:cs="Times New Roman" w:eastAsia="Times New Roman" w:hAnsi="Times New Roman"/>
          <w:sz w:val="18"/>
          <w:szCs w:val="18"/>
          <w:color w:val="auto"/>
        </w:rPr>
        <w:t>responsibilities or authority, or a material adverse change in your reporting relationships, (ii) a material reduction of your Salary, the Benefits, or any other material compensation or benefits as in effect on the Effective Date, or</w:t>
      </w:r>
    </w:p>
    <w:p>
      <w:pPr>
        <w:jc w:val="both"/>
        <w:ind w:left="1160" w:firstLine="8"/>
        <w:spacing w:after="0" w:line="253" w:lineRule="auto"/>
        <w:tabs>
          <w:tab w:leader="none" w:pos="147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reduction in your status to below 80% of full-time employment;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event shall constitute Good Reason unless (x) you provide written notice to your employer of the existence of the condition giving rise to Good Reason within 30 days of the initial occurrence of such condition, (y) the Corporation or your employer fail to cure such condition within 30 days following receipt of such notice and (z) you terminate employment within 30 days following the expiration of the cure period.</w:t>
      </w:r>
    </w:p>
    <w:p>
      <w:pPr>
        <w:spacing w:after="0" w:line="183" w:lineRule="exact"/>
        <w:rPr>
          <w:sz w:val="20"/>
          <w:szCs w:val="20"/>
          <w:color w:val="auto"/>
        </w:rPr>
      </w:pPr>
    </w:p>
    <w:p>
      <w:pPr>
        <w:jc w:val="both"/>
        <w:ind w:left="11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meaning ascribed to such term in Section 3(a)(9) of the Exchange Act and used in Sections 13(d) and 14(d) thereof, including a “group” as defined in Section 13(d) thereof.</w:t>
      </w:r>
    </w:p>
    <w:p>
      <w:pPr>
        <w:spacing w:after="0" w:line="159" w:lineRule="exact"/>
        <w:rPr>
          <w:sz w:val="20"/>
          <w:szCs w:val="20"/>
          <w:color w:val="auto"/>
        </w:rPr>
      </w:pPr>
    </w:p>
    <w:p>
      <w:pPr>
        <w:jc w:val="both"/>
        <w:ind w:left="1160"/>
        <w:spacing w:after="0" w:line="256" w:lineRule="auto"/>
        <w:rPr>
          <w:sz w:val="20"/>
          <w:szCs w:val="20"/>
          <w:color w:val="auto"/>
        </w:rPr>
      </w:pPr>
      <w:r>
        <w:rPr>
          <w:rFonts w:ascii="Times New Roman" w:cs="Times New Roman" w:eastAsia="Times New Roman" w:hAnsi="Times New Roman"/>
          <w:sz w:val="18"/>
          <w:szCs w:val="18"/>
          <w:color w:val="auto"/>
        </w:rPr>
        <w:t>Notwithstanding the foregoing, for each RSU that constitutes deferred compensation under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to the extent required to avoid accelerated taxation and/or tax penalties under Section 409A of the Code, the Applicable Change in Control shall be deemed to have occurred under the Plan with respect to such RSU only if a change in the ownership or effective control of the Corporation or a change in ownership of a substantial portion of the assets of the Corporation shall also be deemed to have occurred under Section 409A of the Code.</w:t>
      </w:r>
    </w:p>
    <w:p>
      <w:pPr>
        <w:spacing w:after="0" w:line="187" w:lineRule="exact"/>
        <w:rPr>
          <w:sz w:val="20"/>
          <w:szCs w:val="20"/>
          <w:color w:val="auto"/>
        </w:rPr>
      </w:pPr>
    </w:p>
    <w:p>
      <w:pPr>
        <w:jc w:val="both"/>
        <w:ind w:left="1160"/>
        <w:spacing w:after="0" w:line="254" w:lineRule="auto"/>
        <w:rPr>
          <w:sz w:val="20"/>
          <w:szCs w:val="20"/>
          <w:color w:val="auto"/>
        </w:rPr>
      </w:pPr>
      <w:r>
        <w:rPr>
          <w:rFonts w:ascii="Times New Roman" w:cs="Times New Roman" w:eastAsia="Times New Roman" w:hAnsi="Times New Roman"/>
          <w:sz w:val="18"/>
          <w:szCs w:val="18"/>
          <w:color w:val="auto"/>
        </w:rPr>
        <w:t>Notwithstanding anything in this Amendment or the RSU Agreements to the contrary, if any payment or distribution to you pursuant to the RSU Agreements, this Amendment, or otherwise (the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such Payment shall either be (A) delivered in full or (B) delivered as to such lesser extent which would result in no portion of such Payment being subject to the Excise Tax, whichever of the foregoing amounts, taking into account the applicable federal, state and local income taxes and the Excise Tax, results in your receipt on an after-tax basis, of the largest payment, notwithstanding that all or some portion the Payment may be taxable under Section 4999 of the Code.</w:t>
      </w:r>
    </w:p>
    <w:p>
      <w:pPr>
        <w:spacing w:after="0" w:line="192" w:lineRule="exact"/>
        <w:rPr>
          <w:sz w:val="20"/>
          <w:szCs w:val="20"/>
          <w:color w:val="auto"/>
        </w:rPr>
      </w:pPr>
    </w:p>
    <w:p>
      <w:pPr>
        <w:jc w:val="both"/>
        <w:ind w:left="1160"/>
        <w:spacing w:after="0" w:line="266" w:lineRule="auto"/>
        <w:rPr>
          <w:sz w:val="20"/>
          <w:szCs w:val="20"/>
          <w:color w:val="auto"/>
        </w:rPr>
      </w:pPr>
      <w:r>
        <w:rPr>
          <w:rFonts w:ascii="Times New Roman" w:cs="Times New Roman" w:eastAsia="Times New Roman" w:hAnsi="Times New Roman"/>
          <w:sz w:val="18"/>
          <w:szCs w:val="18"/>
          <w:color w:val="auto"/>
        </w:rPr>
        <w:t>In addition to the aforementioned, if upon the Applicable Change in Control unvested RSUs are to be cancelled for no consideration, all unvested RSUs as of closing of the Applicable Change in Control shall be fully accelerated immediately prior to such closing.</w:t>
      </w:r>
    </w:p>
    <w:p>
      <w:pPr>
        <w:spacing w:after="0" w:line="172" w:lineRule="exact"/>
        <w:rPr>
          <w:sz w:val="20"/>
          <w:szCs w:val="20"/>
          <w:color w:val="auto"/>
        </w:rPr>
      </w:pPr>
    </w:p>
    <w:p>
      <w:pPr>
        <w:jc w:val="both"/>
        <w:ind w:left="11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“Release” </w:t>
      </w:r>
      <w:r>
        <w:rPr>
          <w:rFonts w:ascii="Times New Roman" w:cs="Times New Roman" w:eastAsia="Times New Roman" w:hAnsi="Times New Roman"/>
          <w:sz w:val="18"/>
          <w:szCs w:val="18"/>
          <w:color w:val="auto"/>
        </w:rPr>
        <w:t>means a release of claims document in a form satisfactory to the Corporation and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employing Subsidiary, such release shall include, among other things: (a) a general waiver and release of claims against the Corporation, its Subsidiaries and their respective officers, directors and employees, (b) a confirmation that you have not breached, and an undertaking not to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70" w:name="page71"/>
    <w:bookmarkEnd w:id="70"/>
    <w:p>
      <w:pPr>
        <w:jc w:val="both"/>
        <w:ind w:left="1280"/>
        <w:spacing w:after="0" w:line="254" w:lineRule="auto"/>
        <w:rPr>
          <w:sz w:val="20"/>
          <w:szCs w:val="20"/>
          <w:color w:val="auto"/>
        </w:rPr>
      </w:pPr>
      <w:r>
        <w:rPr>
          <w:rFonts w:ascii="Times New Roman" w:cs="Times New Roman" w:eastAsia="Times New Roman" w:hAnsi="Times New Roman"/>
          <w:sz w:val="18"/>
          <w:szCs w:val="18"/>
          <w:color w:val="auto"/>
        </w:rPr>
        <w:t>any intellectual property obligations owed to the Corporation or any Subsidiary, (c) a confirmation that you have not breached, and an undertaking not to breach, any confidentiality obligations owed to the Corporation or any Subsidiary, (d) non-competition and non-solicitation undertakings of at least 12 months following end of employment, and (e) an acknowledgment that the acceleration of the RSUs constitutes additional consideration for the undertakings set forth in clauses (b) through (d) above, and that upon any material breach of such undertakings, the Corporation shall be entitled, without limiting any other remedy, to recover from you any shares issued upon settlement of the accelerated RSUs (or the net proceeds thereof, if sold or transferred) and to cancel any accelerated RSUs not yet settled.</w:t>
      </w:r>
    </w:p>
    <w:p>
      <w:pPr>
        <w:spacing w:after="0" w:line="192" w:lineRule="exact"/>
        <w:rPr>
          <w:sz w:val="20"/>
          <w:szCs w:val="20"/>
          <w:color w:val="auto"/>
        </w:rPr>
      </w:pPr>
    </w:p>
    <w:p>
      <w:pPr>
        <w:ind w:firstLine="640"/>
        <w:spacing w:after="0" w:line="282" w:lineRule="auto"/>
        <w:tabs>
          <w:tab w:leader="none" w:pos="12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Transition</w:t>
      </w:r>
      <w:r>
        <w:rPr>
          <w:rFonts w:ascii="Times New Roman" w:cs="Times New Roman" w:eastAsia="Times New Roman" w:hAnsi="Times New Roman"/>
          <w:sz w:val="18"/>
          <w:szCs w:val="18"/>
          <w:color w:val="auto"/>
        </w:rPr>
        <w:t>. Section 6 of each of the RSU Agreements is hereby amended by adding the following paragraph to the end thereof (following the Change in Control paragraph added pursuant to Section 1 above) as set forth below:</w:t>
      </w:r>
    </w:p>
    <w:p>
      <w:pPr>
        <w:spacing w:after="0" w:line="1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Transition Double Trigger Acceleration.</w:t>
      </w:r>
    </w:p>
    <w:p>
      <w:pPr>
        <w:spacing w:after="0" w:line="22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 terms or conditions set forth herein to the contrary, in the event that all of the following occur (i) an Executive Transition occurs, (ii) your employment is terminated by the Corporation or any Subsidiary without Cause (and without you being rehired by the Corporation or any Subsidiary as further described in this Section 6 above) within 18 months following the occurrence of the Executive Transition and (iii) you sign and do not revoke the Release and such Release becomes effective within 60 days following the date your employment terminates, then each unvested RSU as of the date of termination shall fully accelerate and become fully vested on the date of effectiveness of the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60-day period spans two calendar years, such vesting shall occur on the first day of the later of such calendar years. For purposes of this Agreement, an “</w:t>
      </w:r>
      <w:r>
        <w:rPr>
          <w:rFonts w:ascii="Times New Roman" w:cs="Times New Roman" w:eastAsia="Times New Roman" w:hAnsi="Times New Roman"/>
          <w:sz w:val="18"/>
          <w:szCs w:val="18"/>
          <w:b w:val="1"/>
          <w:bCs w:val="1"/>
          <w:color w:val="auto"/>
        </w:rPr>
        <w:t>Executive Transition</w:t>
      </w:r>
      <w:r>
        <w:rPr>
          <w:rFonts w:ascii="Times New Roman" w:cs="Times New Roman" w:eastAsia="Times New Roman" w:hAnsi="Times New Roman"/>
          <w:sz w:val="18"/>
          <w:szCs w:val="18"/>
          <w:color w:val="auto"/>
        </w:rPr>
        <w:t>” means an event where the founder and Chief Executive Officer of the Corporation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as of the Effective Date ceases to be the CEO for any reason.</w:t>
      </w:r>
    </w:p>
    <w:p>
      <w:pPr>
        <w:spacing w:after="0" w:line="188" w:lineRule="exact"/>
        <w:rPr>
          <w:sz w:val="20"/>
          <w:szCs w:val="20"/>
          <w:color w:val="auto"/>
        </w:rPr>
      </w:pPr>
    </w:p>
    <w:p>
      <w:pPr>
        <w:jc w:val="both"/>
        <w:ind w:firstLine="640"/>
        <w:spacing w:after="0" w:line="258"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The tax consequences of the amendments described above shall be borne solely by the Employee and the Employee agrees to bear such taxes and the Corporation or any Subsidiary (as defined in the RSU Agreements) shall be entitled to withhold all applicable taxes in connection with the RSUs, including as a result of the amendment to the terms of the existing RSUs as described above. It is clarified that the acceleration may impact the beneficial tax treatment under the trustee capital gains route. The Employee confirms that they have had the opportunity to receive legal and tax advice before executing this amendment.</w:t>
      </w:r>
    </w:p>
    <w:p>
      <w:pPr>
        <w:spacing w:after="0" w:line="183"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paragraphs are inserted for convenience and shall not affect any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w:t>
      </w:r>
    </w:p>
    <w:p>
      <w:pPr>
        <w:spacing w:after="0" w:line="206" w:lineRule="exact"/>
        <w:rPr>
          <w:rFonts w:ascii="Times New Roman" w:cs="Times New Roman" w:eastAsia="Times New Roman" w:hAnsi="Times New Roman"/>
          <w:sz w:val="18"/>
          <w:szCs w:val="18"/>
          <w:color w:val="auto"/>
        </w:rPr>
      </w:pPr>
    </w:p>
    <w:p>
      <w:pPr>
        <w:ind w:right="20" w:firstLine="640"/>
        <w:spacing w:after="0" w:line="282" w:lineRule="auto"/>
        <w:tabs>
          <w:tab w:leader="none" w:pos="12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Amendment shall be deemed severable and the invalidity or unenforceability of any provision shall not affect the validity or enforceability of the other provisions hereof.</w:t>
      </w:r>
    </w:p>
    <w:p>
      <w:pPr>
        <w:spacing w:after="0" w:line="161"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Amendment shall be binding upon and shall inure to the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71" w:name="page72"/>
    <w:bookmarkEnd w:id="71"/>
    <w:p>
      <w:pPr>
        <w:jc w:val="both"/>
        <w:spacing w:after="0" w:line="255" w:lineRule="auto"/>
        <w:rPr>
          <w:sz w:val="20"/>
          <w:szCs w:val="20"/>
          <w:color w:val="auto"/>
        </w:rPr>
      </w:pPr>
      <w:r>
        <w:rPr>
          <w:rFonts w:ascii="Times New Roman" w:cs="Times New Roman" w:eastAsia="Times New Roman" w:hAnsi="Times New Roman"/>
          <w:sz w:val="18"/>
          <w:szCs w:val="18"/>
          <w:color w:val="auto"/>
        </w:rPr>
        <w:t>of the Corporation, its successors and assigns, and the Corporation shall require such successor or assign to expressly assume and agree to perform this Amendment in the same manner and to the same extent that the Corporation would be required to perform it if no such succession or assignment had taken place. The term “successors and assigns” as used herein shall mean a corporation or other entity acquiring all or substantially all the assets and business of the Corporation (including this Amendment) whether by operation of law or otherwise. Neither this Amendment nor any right or interest hereunder shall be assignable or transferable by the Employee, his beneficiaries or legal representatives, except by will or by the laws of descent and distribution. This Amendment shall inure to the benefit of and be enforceable by the Employee’s legal personal representative.</w:t>
      </w:r>
    </w:p>
    <w:p>
      <w:pPr>
        <w:spacing w:after="0" w:line="189" w:lineRule="exact"/>
        <w:rPr>
          <w:sz w:val="20"/>
          <w:szCs w:val="20"/>
          <w:color w:val="auto"/>
        </w:rPr>
      </w:pPr>
    </w:p>
    <w:p>
      <w:pPr>
        <w:ind w:right="20" w:firstLine="640"/>
        <w:spacing w:after="0" w:line="282" w:lineRule="auto"/>
        <w:tabs>
          <w:tab w:leader="none" w:pos="12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shall be deemed an original copy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72" w:name="page73"/>
    <w:bookmarkEnd w:id="72"/>
    <w:p>
      <w:pPr>
        <w:ind w:left="520"/>
        <w:spacing w:after="0"/>
        <w:rPr>
          <w:sz w:val="20"/>
          <w:szCs w:val="20"/>
          <w:color w:val="auto"/>
        </w:rPr>
      </w:pPr>
      <w:r>
        <w:rPr>
          <w:rFonts w:ascii="Times New Roman" w:cs="Times New Roman" w:eastAsia="Times New Roman" w:hAnsi="Times New Roman"/>
          <w:sz w:val="17"/>
          <w:szCs w:val="17"/>
          <w:color w:val="auto"/>
        </w:rPr>
        <w:t>IN WITNESS WHEREOF, the parties have executed this Amendment as of the date first above written.</w:t>
      </w:r>
    </w:p>
    <w:p>
      <w:pPr>
        <w:spacing w:after="0" w:line="2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2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00" w:lineRule="exact"/>
        <w:rPr>
          <w:sz w:val="20"/>
          <w:szCs w:val="20"/>
          <w:color w:val="auto"/>
        </w:rPr>
      </w:pPr>
    </w:p>
    <w:p>
      <w:pPr>
        <w:spacing w:after="0" w:line="24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7774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Amnon Shashua</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3" w:lineRule="exact"/>
        <w:rPr>
          <w:sz w:val="20"/>
          <w:szCs w:val="20"/>
          <w:color w:val="auto"/>
        </w:rPr>
      </w:pPr>
    </w:p>
    <w:p>
      <w:pPr>
        <w:jc w:val="center"/>
        <w:ind w:left="168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Boaz Ouriel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17145</wp:posOffset>
            </wp:positionV>
            <wp:extent cx="27774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Boaz Ouriel</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10.27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MOBILEYE VlSION TECHNOLOGIES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color w:val="auto"/>
        </w:rPr>
        <w:t xml:space="preserve">This Employment Agreement is effective as of </w:t>
      </w:r>
      <w:r>
        <w:rPr>
          <w:rFonts w:ascii="Times New Roman" w:cs="Times New Roman" w:eastAsia="Times New Roman" w:hAnsi="Times New Roman"/>
          <w:sz w:val="18"/>
          <w:szCs w:val="18"/>
          <w:u w:val="single" w:color="auto"/>
          <w:color w:val="auto"/>
        </w:rPr>
        <w:t>12/02/2017</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xml:space="preserve">), by and between </w:t>
      </w:r>
      <w:r>
        <w:rPr>
          <w:rFonts w:ascii="Times New Roman" w:cs="Times New Roman" w:eastAsia="Times New Roman" w:hAnsi="Times New Roman"/>
          <w:sz w:val="18"/>
          <w:szCs w:val="18"/>
          <w:b w:val="1"/>
          <w:bCs w:val="1"/>
          <w:color w:val="auto"/>
        </w:rPr>
        <w:t>Mobileye Vision Technologies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Ltd., </w:t>
      </w:r>
      <w:r>
        <w:rPr>
          <w:rFonts w:ascii="Times New Roman" w:cs="Times New Roman" w:eastAsia="Times New Roman" w:hAnsi="Times New Roman"/>
          <w:sz w:val="18"/>
          <w:szCs w:val="18"/>
          <w:color w:val="auto"/>
        </w:rPr>
        <w:t>an Israeli company with its principal offices at 13 Hartum st., Jerusalem, Israel (the</w:t>
      </w:r>
      <w:r>
        <w:rPr>
          <w:rFonts w:ascii="Times New Roman" w:cs="Times New Roman" w:eastAsia="Times New Roman" w:hAnsi="Times New Roman"/>
          <w:sz w:val="18"/>
          <w:szCs w:val="18"/>
          <w:b w:val="1"/>
          <w:bCs w:val="1"/>
          <w:color w:val="auto"/>
        </w:rPr>
        <w:t xml:space="preserve"> “Company”</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Yaacov (Kobi) Ohayon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Number [*****]) an individual whose address at [*****]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WHEREAS, the Company desires to employ the Employee as its </w:t>
      </w:r>
      <w:r>
        <w:rPr>
          <w:rFonts w:ascii="Times New Roman" w:cs="Times New Roman" w:eastAsia="Times New Roman" w:hAnsi="Times New Roman"/>
          <w:sz w:val="18"/>
          <w:szCs w:val="18"/>
          <w:u w:val="single" w:color="auto"/>
          <w:color w:val="auto"/>
        </w:rPr>
        <w:t>VP Operations</w:t>
      </w:r>
      <w:r>
        <w:rPr>
          <w:rFonts w:ascii="Times New Roman" w:cs="Times New Roman" w:eastAsia="Times New Roman" w:hAnsi="Times New Roman"/>
          <w:sz w:val="18"/>
          <w:szCs w:val="18"/>
          <w:color w:val="auto"/>
        </w:rPr>
        <w:t>, and the Employee desires to be employed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in that position on the terms and conditions set forth below:</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the mutual promises and covenants herein contained, the parties hereto agree as follows:</w:t>
      </w:r>
    </w:p>
    <w:p>
      <w:pPr>
        <w:spacing w:after="0" w:line="162"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 OF THE CONTRACT</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This contract is a personal employment contract and therefore, save as expressly otherwise provided herein:</w:t>
      </w:r>
    </w:p>
    <w:p>
      <w:pPr>
        <w:spacing w:after="0" w:line="225"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18"/>
          <w:szCs w:val="18"/>
          <w:color w:val="auto"/>
        </w:rPr>
        <w:t>1.1.1.</w:t>
        <w:tab/>
        <w:t>For the purposes of this Agreement and with respect to the employment of the Employee by the Company, no terms or provisions of any current or future (a) general collective labor agreements and/or arrangements, (b) special collective labor agreements, (c) existing or future Extension Orders; (d) any industry custom or practice (e) any other agreements between the Company and its employees, shall apply to this Agreement or to the employment relationship between the Company and the Employee.</w:t>
      </w:r>
    </w:p>
    <w:p>
      <w:pPr>
        <w:spacing w:after="0" w:line="18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l. 1.2.</w:t>
        <w:tab/>
        <w:t>The Employee shall not be entitled to any payment, right or benefit which is not expressly mentioned in this contract, including, but without prejudice to the generality of the foregoing, any payments, rights, retirement conditions or other benefits whatsoever, to which the employees of the Company or of any company under its control are now or in future entitled, which are not mentioned in this contract.</w:t>
      </w:r>
    </w:p>
    <w:p>
      <w:pPr>
        <w:spacing w:after="0" w:line="180" w:lineRule="exact"/>
        <w:rPr>
          <w:sz w:val="20"/>
          <w:szCs w:val="20"/>
          <w:color w:val="auto"/>
        </w:rPr>
      </w:pPr>
    </w:p>
    <w:p>
      <w:pPr>
        <w:jc w:val="both"/>
        <w:ind w:left="130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l. I. 3.</w:t>
        <w:tab/>
        <w:t>Any results of negotiations conducted between the Employee’s Committee or the Employee’s Representative and the Company shall not apply to the Employee and shall not amend, add or detract from the terms and conditions contained herein.</w:t>
      </w:r>
    </w:p>
    <w:p>
      <w:pPr>
        <w:spacing w:after="0" w:line="176" w:lineRule="exact"/>
        <w:rPr>
          <w:sz w:val="20"/>
          <w:szCs w:val="20"/>
          <w:color w:val="auto"/>
        </w:rPr>
      </w:pPr>
    </w:p>
    <w:p>
      <w:pPr>
        <w:jc w:val="both"/>
        <w:ind w:left="660" w:hanging="323"/>
        <w:spacing w:after="0" w:line="266" w:lineRule="auto"/>
        <w:rPr>
          <w:sz w:val="20"/>
          <w:szCs w:val="20"/>
          <w:color w:val="auto"/>
        </w:rPr>
      </w:pPr>
      <w:r>
        <w:rPr>
          <w:rFonts w:ascii="Times New Roman" w:cs="Times New Roman" w:eastAsia="Times New Roman" w:hAnsi="Times New Roman"/>
          <w:sz w:val="18"/>
          <w:szCs w:val="18"/>
          <w:color w:val="auto"/>
        </w:rPr>
        <w:t>I .2. The Employee hereby represents in favor of the Company that no provision of any law, regulation, agreement or other document prohibits him from entering this Agreement. Neither the execution nor delivery of this Agreement nor the performance by the Employee of his duties and other obligations hereunder violate or will violate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603250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74" w:name="page75"/>
    <w:bookmarkEnd w:id="74"/>
    <w:p>
      <w:pPr>
        <w:ind w:left="652"/>
        <w:spacing w:after="0"/>
        <w:rPr>
          <w:sz w:val="20"/>
          <w:szCs w:val="20"/>
          <w:color w:val="auto"/>
        </w:rPr>
      </w:pPr>
      <w:r>
        <w:rPr>
          <w:rFonts w:ascii="Times New Roman" w:cs="Times New Roman" w:eastAsia="Times New Roman" w:hAnsi="Times New Roman"/>
          <w:sz w:val="18"/>
          <w:szCs w:val="18"/>
          <w:color w:val="auto"/>
        </w:rPr>
        <w:t>any prior employment agreement, contract, or other instrument to which the Employee is a party or by which he is bound.</w:t>
      </w:r>
    </w:p>
    <w:p>
      <w:pPr>
        <w:spacing w:after="0" w:line="225" w:lineRule="exact"/>
        <w:rPr>
          <w:sz w:val="20"/>
          <w:szCs w:val="20"/>
          <w:color w:val="auto"/>
        </w:rPr>
      </w:pPr>
    </w:p>
    <w:p>
      <w:pPr>
        <w:ind w:left="652" w:hanging="323"/>
        <w:spacing w:after="0" w:line="282" w:lineRule="auto"/>
        <w:rPr>
          <w:sz w:val="20"/>
          <w:szCs w:val="20"/>
          <w:color w:val="auto"/>
        </w:rPr>
      </w:pPr>
      <w:r>
        <w:rPr>
          <w:rFonts w:ascii="Times New Roman" w:cs="Times New Roman" w:eastAsia="Times New Roman" w:hAnsi="Times New Roman"/>
          <w:sz w:val="18"/>
          <w:szCs w:val="18"/>
          <w:color w:val="auto"/>
        </w:rPr>
        <w:t>I .3. The Employee undertakes to keep the contents of this Agreement confidential and not to disclose the existence or contents of this Agreement to any third party without the prior written consent of the Company.</w:t>
      </w:r>
    </w:p>
    <w:p>
      <w:pPr>
        <w:spacing w:after="0" w:line="162" w:lineRule="exact"/>
        <w:rPr>
          <w:sz w:val="20"/>
          <w:szCs w:val="20"/>
          <w:color w:val="auto"/>
        </w:rPr>
      </w:pPr>
    </w:p>
    <w:p>
      <w:pPr>
        <w:ind w:left="332" w:hanging="332"/>
        <w:spacing w:after="0"/>
        <w:tabs>
          <w:tab w:leader="none" w:pos="3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EMPLOYEE’S DUTIES AND OBLIGATIONS</w:t>
      </w:r>
    </w:p>
    <w:p>
      <w:pPr>
        <w:spacing w:after="0" w:line="225" w:lineRule="exact"/>
        <w:rPr>
          <w:rFonts w:ascii="Times New Roman" w:cs="Times New Roman" w:eastAsia="Times New Roman" w:hAnsi="Times New Roman"/>
          <w:sz w:val="18"/>
          <w:szCs w:val="18"/>
          <w:color w:val="auto"/>
        </w:rPr>
      </w:pPr>
    </w:p>
    <w:p>
      <w:pPr>
        <w:ind w:left="652" w:right="20"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The Employee shall from </w:t>
      </w:r>
      <w:r>
        <w:rPr>
          <w:rFonts w:ascii="Times New Roman" w:cs="Times New Roman" w:eastAsia="Times New Roman" w:hAnsi="Times New Roman"/>
          <w:sz w:val="18"/>
          <w:szCs w:val="18"/>
          <w:u w:val="single" w:color="auto"/>
          <w:color w:val="auto"/>
        </w:rPr>
        <w:t>12/02/2017</w:t>
      </w:r>
      <w:r>
        <w:rPr>
          <w:rFonts w:ascii="Times New Roman" w:cs="Times New Roman" w:eastAsia="Times New Roman" w:hAnsi="Times New Roman"/>
          <w:sz w:val="18"/>
          <w:szCs w:val="18"/>
          <w:color w:val="auto"/>
        </w:rPr>
        <w:t xml:space="preserve"> (hereinafter “Date of Commencement of Employment”) serve as </w:t>
      </w:r>
      <w:r>
        <w:rPr>
          <w:rFonts w:ascii="Times New Roman" w:cs="Times New Roman" w:eastAsia="Times New Roman" w:hAnsi="Times New Roman"/>
          <w:sz w:val="18"/>
          <w:szCs w:val="18"/>
          <w:u w:val="single" w:color="auto"/>
          <w:color w:val="auto"/>
        </w:rPr>
        <w:t>VP Operations</w:t>
      </w:r>
      <w:r>
        <w:rPr>
          <w:rFonts w:ascii="Times New Roman" w:cs="Times New Roman" w:eastAsia="Times New Roman" w:hAnsi="Times New Roman"/>
          <w:sz w:val="18"/>
          <w:szCs w:val="18"/>
          <w:color w:val="auto"/>
        </w:rPr>
        <w:t xml:space="preserve"> and shall report to </w:t>
      </w:r>
      <w:r>
        <w:rPr>
          <w:rFonts w:ascii="Times New Roman" w:cs="Times New Roman" w:eastAsia="Times New Roman" w:hAnsi="Times New Roman"/>
          <w:sz w:val="18"/>
          <w:szCs w:val="18"/>
          <w:u w:val="single" w:color="auto"/>
          <w:color w:val="auto"/>
        </w:rPr>
        <w:t>Mr. Ziv Aviram</w:t>
      </w:r>
      <w:r>
        <w:rPr>
          <w:rFonts w:ascii="Times New Roman" w:cs="Times New Roman" w:eastAsia="Times New Roman" w:hAnsi="Times New Roman"/>
          <w:sz w:val="18"/>
          <w:szCs w:val="18"/>
          <w:color w:val="auto"/>
        </w:rPr>
        <w:t>. The Employee shall observe and comply with all resolutions, regulations and directions from time to time made or given by the Company.</w:t>
      </w:r>
    </w:p>
    <w:p>
      <w:pPr>
        <w:spacing w:after="0" w:line="175" w:lineRule="exact"/>
        <w:rPr>
          <w:rFonts w:ascii="Times New Roman" w:cs="Times New Roman" w:eastAsia="Times New Roman" w:hAnsi="Times New Roman"/>
          <w:sz w:val="18"/>
          <w:szCs w:val="18"/>
          <w:color w:val="auto"/>
        </w:rPr>
      </w:pPr>
    </w:p>
    <w:p>
      <w:pPr>
        <w:ind w:left="652"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The six month period commencing from the Date of Commencement of Employment shall be considered to be a trial period (“Trial Period”).</w:t>
      </w:r>
    </w:p>
    <w:p>
      <w:pPr>
        <w:spacing w:after="0" w:line="161" w:lineRule="exact"/>
        <w:rPr>
          <w:rFonts w:ascii="Times New Roman" w:cs="Times New Roman" w:eastAsia="Times New Roman" w:hAnsi="Times New Roman"/>
          <w:sz w:val="18"/>
          <w:szCs w:val="18"/>
          <w:color w:val="auto"/>
        </w:rPr>
      </w:pPr>
    </w:p>
    <w:p>
      <w:pPr>
        <w:ind w:left="652"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The Employee shall use his best endeavors to promote the interests of the Company. The Employee shall devote all of his business and professional time, attention, energy, skill, learning and best efforts to the affairs of the Company and shall perform his duties provided for hereunder at such locations as is directed by the Company. The Employee shall use his best endeavors to protect the good name of the Company and shall not perform any act that shall bring the Company into disrepute.</w:t>
      </w:r>
    </w:p>
    <w:p>
      <w:pPr>
        <w:spacing w:after="0" w:line="179" w:lineRule="exact"/>
        <w:rPr>
          <w:rFonts w:ascii="Times New Roman" w:cs="Times New Roman" w:eastAsia="Times New Roman" w:hAnsi="Times New Roman"/>
          <w:sz w:val="18"/>
          <w:szCs w:val="18"/>
          <w:color w:val="auto"/>
        </w:rPr>
      </w:pPr>
    </w:p>
    <w:p>
      <w:pPr>
        <w:ind w:left="652"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In the event that the Employee shall discover that he has or might have at some point in the future any direct or indirect personal interest in any of the Company’s business or a conflict of interest with the duties required of him by virtue of his employment with the Company, immediately upon such discovery the Employee shall so inform the board of directors of the Company in writing.</w:t>
      </w:r>
    </w:p>
    <w:p>
      <w:pPr>
        <w:spacing w:after="0" w:line="179" w:lineRule="exact"/>
        <w:rPr>
          <w:rFonts w:ascii="Times New Roman" w:cs="Times New Roman" w:eastAsia="Times New Roman" w:hAnsi="Times New Roman"/>
          <w:sz w:val="18"/>
          <w:szCs w:val="18"/>
          <w:color w:val="auto"/>
        </w:rPr>
      </w:pPr>
    </w:p>
    <w:p>
      <w:pPr>
        <w:ind w:left="652"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The Employee shall not during the term of this Agreement engage directly or indirectly in rendering services of a business, professional or commercial nature to any other person, firm, or corporation, whether or not such services are rendered for gain, profit or other pecuniary advantage.</w:t>
      </w:r>
    </w:p>
    <w:p>
      <w:pPr>
        <w:spacing w:after="0" w:line="175" w:lineRule="exact"/>
        <w:rPr>
          <w:rFonts w:ascii="Times New Roman" w:cs="Times New Roman" w:eastAsia="Times New Roman" w:hAnsi="Times New Roman"/>
          <w:sz w:val="18"/>
          <w:szCs w:val="18"/>
          <w:color w:val="auto"/>
        </w:rPr>
      </w:pPr>
    </w:p>
    <w:p>
      <w:pPr>
        <w:ind w:left="652"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The Employee shall not directly or indirectly accept any commission, rebate, discount, or gratuity in cash or in kind, from any person who has or is likely to have a business relationship with the Company.</w:t>
      </w:r>
    </w:p>
    <w:p>
      <w:pPr>
        <w:spacing w:after="0" w:line="16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SCOPE OF EMPLOYMENT &amp; OVERTIME PAYMENT</w:t>
      </w:r>
    </w:p>
    <w:p>
      <w:pPr>
        <w:spacing w:after="0" w:line="225" w:lineRule="exact"/>
        <w:rPr>
          <w:rFonts w:ascii="Times New Roman" w:cs="Times New Roman" w:eastAsia="Times New Roman" w:hAnsi="Times New Roman"/>
          <w:sz w:val="18"/>
          <w:szCs w:val="18"/>
          <w:color w:val="auto"/>
        </w:rPr>
      </w:pPr>
    </w:p>
    <w:p>
      <w:pPr>
        <w:ind w:left="652"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The Employee shall carry out his duty according to the accustomed hours of the Company for Employees serving in his role or in that scale and as determined by the Employee’s supervisor as defined in section 2.1. It is clarified that all salaries payments as well employee benefits and the supplementary payments in this agreement reflect a full time employment status however employee will be compensated proportionally to the percentage of his employment status as shall be determined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605790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75" w:name="page76"/>
    <w:bookmarkEnd w:id="75"/>
    <w:p>
      <w:pPr>
        <w:jc w:val="center"/>
        <w:ind w:right="-51"/>
        <w:spacing w:after="0"/>
        <w:rPr>
          <w:sz w:val="20"/>
          <w:szCs w:val="20"/>
          <w:color w:val="auto"/>
        </w:rPr>
      </w:pPr>
      <w:r>
        <w:rPr>
          <w:rFonts w:ascii="Times New Roman" w:cs="Times New Roman" w:eastAsia="Times New Roman" w:hAnsi="Times New Roman"/>
          <w:sz w:val="18"/>
          <w:szCs w:val="18"/>
          <w:color w:val="auto"/>
        </w:rPr>
        <w:t xml:space="preserve">time to time (hereinafter: </w:t>
      </w:r>
      <w:r>
        <w:rPr>
          <w:rFonts w:ascii="Times New Roman" w:cs="Times New Roman" w:eastAsia="Times New Roman" w:hAnsi="Times New Roman"/>
          <w:sz w:val="18"/>
          <w:szCs w:val="18"/>
          <w:b w:val="1"/>
          <w:bCs w:val="1"/>
          <w:color w:val="auto"/>
        </w:rPr>
        <w:t>“The Part-Time Percentage”</w:t>
      </w:r>
      <w:r>
        <w:rPr>
          <w:rFonts w:ascii="Times New Roman" w:cs="Times New Roman" w:eastAsia="Times New Roman" w:hAnsi="Times New Roman"/>
          <w:sz w:val="18"/>
          <w:szCs w:val="18"/>
          <w:color w:val="auto"/>
        </w:rPr>
        <w:t>). Unless agreed upon differently, the Percentage shall be 100%.</w:t>
      </w:r>
    </w:p>
    <w:p>
      <w:pPr>
        <w:spacing w:after="0" w:line="229" w:lineRule="exact"/>
        <w:rPr>
          <w:sz w:val="20"/>
          <w:szCs w:val="20"/>
          <w:color w:val="auto"/>
        </w:rPr>
      </w:pPr>
    </w:p>
    <w:p>
      <w:pPr>
        <w:jc w:val="both"/>
        <w:ind w:left="652" w:hanging="323"/>
        <w:spacing w:after="0" w:line="266" w:lineRule="auto"/>
        <w:rPr>
          <w:sz w:val="20"/>
          <w:szCs w:val="20"/>
          <w:color w:val="auto"/>
        </w:rPr>
      </w:pPr>
      <w:r>
        <w:rPr>
          <w:rFonts w:ascii="Times New Roman" w:cs="Times New Roman" w:eastAsia="Times New Roman" w:hAnsi="Times New Roman"/>
          <w:sz w:val="18"/>
          <w:szCs w:val="18"/>
          <w:color w:val="auto"/>
        </w:rPr>
        <w:t xml:space="preserve">3.2. In addition to section 3.1 aforementioned, the Employee will be required, from time to time and in accordance with the Company needs, to work overtime and on days of rest (hereinafter: </w:t>
      </w:r>
      <w:r>
        <w:rPr>
          <w:rFonts w:ascii="Times New Roman" w:cs="Times New Roman" w:eastAsia="Times New Roman" w:hAnsi="Times New Roman"/>
          <w:sz w:val="18"/>
          <w:szCs w:val="18"/>
          <w:b w:val="1"/>
          <w:bCs w:val="1"/>
          <w:color w:val="auto"/>
        </w:rPr>
        <w:t>“overtime”</w:t>
      </w:r>
      <w:r>
        <w:rPr>
          <w:rFonts w:ascii="Times New Roman" w:cs="Times New Roman" w:eastAsia="Times New Roman" w:hAnsi="Times New Roman"/>
          <w:sz w:val="18"/>
          <w:szCs w:val="18"/>
          <w:color w:val="auto"/>
        </w:rPr>
        <w:t>). The overtime norm must not, at any circumstances, exceed 40 hours per month.</w:t>
      </w:r>
    </w:p>
    <w:p>
      <w:pPr>
        <w:spacing w:after="0" w:line="176" w:lineRule="exact"/>
        <w:rPr>
          <w:sz w:val="20"/>
          <w:szCs w:val="20"/>
          <w:color w:val="auto"/>
        </w:rPr>
      </w:pPr>
    </w:p>
    <w:p>
      <w:pPr>
        <w:jc w:val="both"/>
        <w:ind w:left="652" w:hanging="323"/>
        <w:spacing w:after="0" w:line="261" w:lineRule="auto"/>
        <w:rPr>
          <w:sz w:val="20"/>
          <w:szCs w:val="20"/>
          <w:color w:val="auto"/>
        </w:rPr>
      </w:pPr>
      <w:r>
        <w:rPr>
          <w:rFonts w:ascii="Times New Roman" w:cs="Times New Roman" w:eastAsia="Times New Roman" w:hAnsi="Times New Roman"/>
          <w:sz w:val="18"/>
          <w:szCs w:val="18"/>
          <w:color w:val="auto"/>
        </w:rPr>
        <w:t xml:space="preserve">3.3. The Employee shall be entitled to compensation for overtime worked by him in the total sum of </w:t>
      </w:r>
      <w:r>
        <w:rPr>
          <w:rFonts w:ascii="Times New Roman" w:cs="Times New Roman" w:eastAsia="Times New Roman" w:hAnsi="Times New Roman"/>
          <w:sz w:val="18"/>
          <w:szCs w:val="18"/>
          <w:u w:val="single" w:color="auto"/>
          <w:color w:val="auto"/>
        </w:rPr>
        <w:t>14,015</w:t>
      </w:r>
      <w:r>
        <w:rPr>
          <w:rFonts w:ascii="Times New Roman" w:cs="Times New Roman" w:eastAsia="Times New Roman" w:hAnsi="Times New Roman"/>
          <w:sz w:val="18"/>
          <w:szCs w:val="18"/>
          <w:color w:val="auto"/>
        </w:rPr>
        <w:t xml:space="preserve"> NIS (hereinafter: </w:t>
      </w:r>
      <w:r>
        <w:rPr>
          <w:rFonts w:ascii="Times New Roman" w:cs="Times New Roman" w:eastAsia="Times New Roman" w:hAnsi="Times New Roman"/>
          <w:sz w:val="18"/>
          <w:szCs w:val="18"/>
          <w:b w:val="1"/>
          <w:bCs w:val="1"/>
          <w:color w:val="auto"/>
        </w:rPr>
        <w:t>“overtime payment”</w:t>
      </w:r>
      <w:r>
        <w:rPr>
          <w:rFonts w:ascii="Times New Roman" w:cs="Times New Roman" w:eastAsia="Times New Roman" w:hAnsi="Times New Roman"/>
          <w:sz w:val="18"/>
          <w:szCs w:val="18"/>
          <w:color w:val="auto"/>
        </w:rPr>
        <w:t>). The overtime payment shall be calculated as follows: the salary as was set on section 4.1 divided by 186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hours (each month) multiplied by the overtime norm as was set on section 3.2 aforementioned and multiplied by 1.333 (the average between 125% overtime compensation to 150% overtime compensation).</w:t>
      </w:r>
    </w:p>
    <w:p>
      <w:pPr>
        <w:spacing w:after="0" w:line="180" w:lineRule="exact"/>
        <w:rPr>
          <w:sz w:val="20"/>
          <w:szCs w:val="20"/>
          <w:color w:val="auto"/>
        </w:rPr>
      </w:pPr>
    </w:p>
    <w:p>
      <w:pPr>
        <w:jc w:val="both"/>
        <w:ind w:left="652" w:hanging="323"/>
        <w:spacing w:after="0" w:line="261" w:lineRule="auto"/>
        <w:rPr>
          <w:sz w:val="20"/>
          <w:szCs w:val="20"/>
          <w:color w:val="auto"/>
        </w:rPr>
      </w:pPr>
      <w:r>
        <w:rPr>
          <w:rFonts w:ascii="Times New Roman" w:cs="Times New Roman" w:eastAsia="Times New Roman" w:hAnsi="Times New Roman"/>
          <w:sz w:val="18"/>
          <w:szCs w:val="18"/>
          <w:color w:val="auto"/>
        </w:rPr>
        <w:t>3.4. It is hereby clarified and agreed upon that the Employee will not be entitled to work overtime exceeding the norm specified in section 3.2 above, without written permission given by his supervisor - as defined in section 2.1- in advance. Should a written permission be given, the Employee will be entitled to additional overtime payment regarding the overtime hours exceeding the norm specified in section 3.2 above, in accordance with reported hours and as was permitted by his supervisor.</w:t>
      </w:r>
    </w:p>
    <w:p>
      <w:pPr>
        <w:spacing w:after="0" w:line="180" w:lineRule="exact"/>
        <w:rPr>
          <w:sz w:val="20"/>
          <w:szCs w:val="20"/>
          <w:color w:val="auto"/>
        </w:rPr>
      </w:pPr>
    </w:p>
    <w:p>
      <w:pPr>
        <w:ind w:left="332" w:hanging="332"/>
        <w:spacing w:after="0"/>
        <w:tabs>
          <w:tab w:leader="none" w:pos="33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w:t>
      </w:r>
    </w:p>
    <w:p>
      <w:pPr>
        <w:spacing w:after="0" w:line="225" w:lineRule="exact"/>
        <w:rPr>
          <w:rFonts w:ascii="Times New Roman" w:cs="Times New Roman" w:eastAsia="Times New Roman" w:hAnsi="Times New Roman"/>
          <w:sz w:val="18"/>
          <w:szCs w:val="18"/>
          <w:color w:val="auto"/>
        </w:rPr>
      </w:pPr>
    </w:p>
    <w:p>
      <w:pPr>
        <w:ind w:left="652"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 In consideration for the performance of all his duties on behalf of the Company according to this contract, the Employee shall be entitled to a monthly global salary (the </w:t>
      </w:r>
      <w:r>
        <w:rPr>
          <w:rFonts w:ascii="Times New Roman" w:cs="Times New Roman" w:eastAsia="Times New Roman" w:hAnsi="Times New Roman"/>
          <w:sz w:val="18"/>
          <w:szCs w:val="18"/>
          <w:b w:val="1"/>
          <w:bCs w:val="1"/>
          <w:color w:val="auto"/>
        </w:rPr>
        <w:t>“Salary”</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49,000</w:t>
      </w:r>
      <w:r>
        <w:rPr>
          <w:rFonts w:ascii="Times New Roman" w:cs="Times New Roman" w:eastAsia="Times New Roman" w:hAnsi="Times New Roman"/>
          <w:sz w:val="18"/>
          <w:szCs w:val="18"/>
          <w:color w:val="auto"/>
        </w:rPr>
        <w:t xml:space="preserve"> New Israeli Shekels (</w:t>
      </w:r>
      <w:r>
        <w:rPr>
          <w:rFonts w:ascii="Times New Roman" w:cs="Times New Roman" w:eastAsia="Times New Roman" w:hAnsi="Times New Roman"/>
          <w:sz w:val="18"/>
          <w:szCs w:val="18"/>
          <w:b w:val="1"/>
          <w:bCs w:val="1"/>
          <w:color w:val="auto"/>
        </w:rPr>
        <w:t>“NIS”</w:t>
      </w:r>
      <w:r>
        <w:rPr>
          <w:rFonts w:ascii="Times New Roman" w:cs="Times New Roman" w:eastAsia="Times New Roman" w:hAnsi="Times New Roman"/>
          <w:sz w:val="18"/>
          <w:szCs w:val="18"/>
          <w:color w:val="auto"/>
        </w:rPr>
        <w:t xml:space="preserve">), and also to supplementary payments (i.e. overtime payment), to social benefits and to senior employees insurance, as specified in section 5 below (hereinafter: </w:t>
      </w:r>
      <w:r>
        <w:rPr>
          <w:rFonts w:ascii="Times New Roman" w:cs="Times New Roman" w:eastAsia="Times New Roman" w:hAnsi="Times New Roman"/>
          <w:sz w:val="18"/>
          <w:szCs w:val="18"/>
          <w:b w:val="1"/>
          <w:b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Benefits”</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652"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 It is understood and agreed upon the parties that the Salary, the supplementary payments and The Benefits are in gross values and shall be subject to tax deduction at source, as required by any relevant law.</w:t>
      </w:r>
    </w:p>
    <w:p>
      <w:pPr>
        <w:spacing w:after="0" w:line="161" w:lineRule="exact"/>
        <w:rPr>
          <w:rFonts w:ascii="Times New Roman" w:cs="Times New Roman" w:eastAsia="Times New Roman" w:hAnsi="Times New Roman"/>
          <w:sz w:val="18"/>
          <w:szCs w:val="18"/>
          <w:color w:val="auto"/>
        </w:rPr>
      </w:pPr>
    </w:p>
    <w:p>
      <w:pPr>
        <w:ind w:left="652"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 It is understood and agreed upon the parties that the Salary, the supplementary payments and the Benefits shall be deemed as the full and total consideration that the Employee is entitled to, either according to this contract or according to any law applicable, due to the fulfillment of his obligations according to this contract, including overtime work and work at rest days.</w:t>
      </w:r>
    </w:p>
    <w:p>
      <w:pPr>
        <w:spacing w:after="0" w:line="175"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The Employee shall devote his full working hours, attention, diligence and energy to his employment under this Agreement.</w:t>
      </w:r>
    </w:p>
    <w:p>
      <w:pPr>
        <w:spacing w:after="0" w:line="225" w:lineRule="exact"/>
        <w:rPr>
          <w:rFonts w:ascii="Times New Roman" w:cs="Times New Roman" w:eastAsia="Times New Roman" w:hAnsi="Times New Roman"/>
          <w:sz w:val="18"/>
          <w:szCs w:val="18"/>
          <w:color w:val="auto"/>
        </w:rPr>
      </w:pPr>
    </w:p>
    <w:p>
      <w:pPr>
        <w:ind w:left="652" w:hanging="324"/>
        <w:spacing w:after="0" w:line="2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 The Salary and the Benefits for each preceding month shall be paid in the next month not later than the 9</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of the month. The Company shall make the appropriate payments on behalf of the Employee, out of the money that was deducted from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617855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7" w:right="999" w:bottom="1440" w:gutter="0" w:footer="0" w:header="0"/>
        </w:sectPr>
      </w:pPr>
    </w:p>
    <w:bookmarkStart w:id="76" w:name="page77"/>
    <w:bookmarkEnd w:id="76"/>
    <w:p>
      <w:pPr>
        <w:ind w:left="652"/>
        <w:spacing w:after="0" w:line="282" w:lineRule="auto"/>
        <w:rPr>
          <w:sz w:val="20"/>
          <w:szCs w:val="20"/>
          <w:color w:val="auto"/>
        </w:rPr>
      </w:pPr>
      <w:r>
        <w:rPr>
          <w:rFonts w:ascii="Times New Roman" w:cs="Times New Roman" w:eastAsia="Times New Roman" w:hAnsi="Times New Roman"/>
          <w:sz w:val="18"/>
          <w:szCs w:val="18"/>
          <w:color w:val="auto"/>
        </w:rPr>
        <w:t>Salary, the supplementary payments or from the Benefits, to the income tax authorities, the Institute of National Insurance and any other relevant authority.</w:t>
      </w:r>
    </w:p>
    <w:p>
      <w:pPr>
        <w:spacing w:after="0" w:line="162" w:lineRule="exact"/>
        <w:rPr>
          <w:sz w:val="20"/>
          <w:szCs w:val="20"/>
          <w:color w:val="auto"/>
        </w:rPr>
      </w:pPr>
    </w:p>
    <w:p>
      <w:pPr>
        <w:ind w:left="332" w:hanging="332"/>
        <w:spacing w:after="0"/>
        <w:tabs>
          <w:tab w:leader="none" w:pos="33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p>
    <w:p>
      <w:pPr>
        <w:spacing w:after="0" w:line="225" w:lineRule="exact"/>
        <w:rPr>
          <w:rFonts w:ascii="Times New Roman" w:cs="Times New Roman" w:eastAsia="Times New Roman" w:hAnsi="Times New Roman"/>
          <w:sz w:val="18"/>
          <w:szCs w:val="18"/>
          <w:color w:val="auto"/>
        </w:rPr>
      </w:pPr>
    </w:p>
    <w:p>
      <w:pPr>
        <w:ind w:left="33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Keren Hishtalmut Fund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292" w:hanging="647"/>
        <w:spacing w:after="0" w:line="224" w:lineRule="auto"/>
        <w:tabs>
          <w:tab w:leader="none" w:pos="1271" w:val="left"/>
        </w:tabs>
        <w:rPr>
          <w:sz w:val="20"/>
          <w:szCs w:val="20"/>
          <w:color w:val="auto"/>
        </w:rPr>
      </w:pPr>
      <w:r>
        <w:rPr>
          <w:rFonts w:ascii="Times New Roman" w:cs="Times New Roman" w:eastAsia="Times New Roman" w:hAnsi="Times New Roman"/>
          <w:sz w:val="18"/>
          <w:szCs w:val="18"/>
          <w:color w:val="auto"/>
        </w:rPr>
        <w:t>5.1.1.</w:t>
        <w:tab/>
        <w:t xml:space="preserve">At the end of each month during the employment of the Employee hereunder (or such other day as is consistent with the Company’s general practices), the Company shall pay an amount equal to 7 </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of the Employee’s </w:t>
      </w:r>
      <w:r>
        <w:rPr>
          <w:rFonts w:ascii="Times New Roman" w:cs="Times New Roman" w:eastAsia="Times New Roman" w:hAnsi="Times New Roman"/>
          <w:sz w:val="18"/>
          <w:szCs w:val="18"/>
          <w:b w:val="1"/>
          <w:bCs w:val="1"/>
          <w:color w:val="auto"/>
        </w:rPr>
        <w:t>“Insurant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Salary” </w:t>
      </w:r>
      <w:r>
        <w:rPr>
          <w:rFonts w:ascii="Times New Roman" w:cs="Times New Roman" w:eastAsia="Times New Roman" w:hAnsi="Times New Roman"/>
          <w:sz w:val="18"/>
          <w:szCs w:val="18"/>
          <w:color w:val="auto"/>
        </w:rPr>
        <w:t>for the preceding month, but in no event an amount which exceeds the amount deductible by the Company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tax purposes, to a Keren Hishtalmut Fund as recognized by the Income Tax Authorities designated by the Company, or if agreed to by the Company, designated by the Employee (the </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and shall deduct from the Salary of the Employee an amount equal to up to 2</w:t>
      </w:r>
      <w:r>
        <w:rPr>
          <w:rFonts w:ascii="Times New Roman" w:cs="Times New Roman" w:eastAsia="Times New Roman" w:hAnsi="Times New Roman"/>
          <w:sz w:val="26"/>
          <w:szCs w:val="26"/>
          <w:color w:val="auto"/>
          <w:vertAlign w:val="superscript"/>
        </w:rPr>
        <w:t>1/2</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Insurant Salary</w:t>
      </w:r>
      <w:r>
        <w:rPr>
          <w:rFonts w:ascii="Times New Roman" w:cs="Times New Roman" w:eastAsia="Times New Roman" w:hAnsi="Times New Roman"/>
          <w:sz w:val="18"/>
          <w:szCs w:val="18"/>
          <w:color w:val="auto"/>
        </w:rPr>
        <w:t xml:space="preserve"> for the preceding month and pay the same on behalf of the Employee, to the Fund.</w:t>
      </w:r>
    </w:p>
    <w:p>
      <w:pPr>
        <w:spacing w:after="0" w:line="204" w:lineRule="exact"/>
        <w:rPr>
          <w:sz w:val="20"/>
          <w:szCs w:val="20"/>
          <w:color w:val="auto"/>
        </w:rPr>
      </w:pPr>
    </w:p>
    <w:p>
      <w:pPr>
        <w:jc w:val="both"/>
        <w:ind w:left="1292" w:hanging="647"/>
        <w:spacing w:after="0" w:line="266" w:lineRule="auto"/>
        <w:tabs>
          <w:tab w:leader="none" w:pos="1271" w:val="left"/>
        </w:tabs>
        <w:rPr>
          <w:sz w:val="20"/>
          <w:szCs w:val="20"/>
          <w:color w:val="auto"/>
        </w:rPr>
      </w:pPr>
      <w:r>
        <w:rPr>
          <w:rFonts w:ascii="Times New Roman" w:cs="Times New Roman" w:eastAsia="Times New Roman" w:hAnsi="Times New Roman"/>
          <w:sz w:val="18"/>
          <w:szCs w:val="18"/>
          <w:color w:val="auto"/>
        </w:rPr>
        <w:t>5.1.2.</w:t>
        <w:tab/>
        <w:t>It is hereby clarified that for the purposes of section 5.1 only, the expression “Insurant Salary” shall be interpreted as the outcome of the following sum: 80% multiplying [Salary plus Overtime payment plus Convalescence pay plus Travel expenses plus High tech Bonus].</w:t>
      </w:r>
    </w:p>
    <w:p>
      <w:pPr>
        <w:spacing w:after="0" w:line="176"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 xml:space="preserve">5.2. Convalescence Pay. The Employee shall be entitled to convalescence pay equal to </w:t>
      </w:r>
      <w:r>
        <w:rPr>
          <w:rFonts w:ascii="Times New Roman" w:cs="Times New Roman" w:eastAsia="Times New Roman" w:hAnsi="Times New Roman"/>
          <w:sz w:val="18"/>
          <w:szCs w:val="18"/>
          <w:u w:val="single" w:color="auto"/>
          <w:color w:val="auto"/>
        </w:rPr>
        <w:t>255</w:t>
      </w:r>
      <w:r>
        <w:rPr>
          <w:rFonts w:ascii="Times New Roman" w:cs="Times New Roman" w:eastAsia="Times New Roman" w:hAnsi="Times New Roman"/>
          <w:sz w:val="18"/>
          <w:szCs w:val="18"/>
          <w:color w:val="auto"/>
        </w:rPr>
        <w:t xml:space="preserve"> NIS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1090930</wp:posOffset>
            </wp:positionH>
            <wp:positionV relativeFrom="paragraph">
              <wp:posOffset>-7620</wp:posOffset>
            </wp:positionV>
            <wp:extent cx="2000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00025" cy="8890"/>
                    </a:xfrm>
                    <a:prstGeom prst="rect">
                      <a:avLst/>
                    </a:prstGeom>
                    <a:noFill/>
                  </pic:spPr>
                </pic:pic>
              </a:graphicData>
            </a:graphic>
          </wp:anchor>
        </w:drawing>
        <w:drawing>
          <wp:anchor simplePos="0" relativeHeight="251657728" behindDoc="1" locked="0" layoutInCell="0" allowOverlap="1">
            <wp:simplePos x="0" y="0"/>
            <wp:positionH relativeFrom="column">
              <wp:posOffset>4389755</wp:posOffset>
            </wp:positionH>
            <wp:positionV relativeFrom="paragraph">
              <wp:posOffset>-24765</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05" w:lineRule="exact"/>
        <w:rPr>
          <w:sz w:val="20"/>
          <w:szCs w:val="20"/>
          <w:color w:val="auto"/>
        </w:rPr>
      </w:pPr>
    </w:p>
    <w:p>
      <w:pPr>
        <w:ind w:left="652" w:hanging="323"/>
        <w:spacing w:after="0" w:line="282" w:lineRule="auto"/>
        <w:rPr>
          <w:sz w:val="20"/>
          <w:szCs w:val="20"/>
          <w:color w:val="auto"/>
        </w:rPr>
      </w:pPr>
      <w:r>
        <w:rPr>
          <w:rFonts w:ascii="Times New Roman" w:cs="Times New Roman" w:eastAsia="Times New Roman" w:hAnsi="Times New Roman"/>
          <w:sz w:val="18"/>
          <w:szCs w:val="18"/>
          <w:color w:val="auto"/>
        </w:rPr>
        <w:t xml:space="preserve">5.3. Transportation Expenses. The Employee shall be entitled to reimbursement of transportation expenses that shall not exceed </w:t>
      </w:r>
      <w:r>
        <w:rPr>
          <w:rFonts w:ascii="Times New Roman" w:cs="Times New Roman" w:eastAsia="Times New Roman" w:hAnsi="Times New Roman"/>
          <w:sz w:val="18"/>
          <w:szCs w:val="18"/>
          <w:u w:val="single" w:color="auto"/>
          <w:color w:val="auto"/>
        </w:rPr>
        <w:t>495</w:t>
      </w:r>
      <w:r>
        <w:rPr>
          <w:rFonts w:ascii="Times New Roman" w:cs="Times New Roman" w:eastAsia="Times New Roman" w:hAnsi="Times New Roman"/>
          <w:sz w:val="18"/>
          <w:szCs w:val="18"/>
          <w:color w:val="auto"/>
        </w:rPr>
        <w:t xml:space="preserve"> NIS.</w:t>
      </w:r>
    </w:p>
    <w:p>
      <w:pPr>
        <w:spacing w:after="0" w:line="162" w:lineRule="exact"/>
        <w:rPr>
          <w:sz w:val="20"/>
          <w:szCs w:val="20"/>
          <w:color w:val="auto"/>
        </w:rPr>
      </w:pPr>
    </w:p>
    <w:p>
      <w:pPr>
        <w:ind w:left="652" w:hanging="323"/>
        <w:spacing w:after="0" w:line="282" w:lineRule="auto"/>
        <w:rPr>
          <w:sz w:val="20"/>
          <w:szCs w:val="20"/>
          <w:color w:val="auto"/>
        </w:rPr>
      </w:pPr>
      <w:r>
        <w:rPr>
          <w:rFonts w:ascii="Times New Roman" w:cs="Times New Roman" w:eastAsia="Times New Roman" w:hAnsi="Times New Roman"/>
          <w:sz w:val="18"/>
          <w:szCs w:val="18"/>
          <w:color w:val="auto"/>
        </w:rPr>
        <w:t xml:space="preserve">5.4. Special High-Tech Bonus. The Employee shall be entitled to a monthly global special high-tech bonus equal to </w:t>
      </w:r>
      <w:r>
        <w:rPr>
          <w:rFonts w:ascii="Times New Roman" w:cs="Times New Roman" w:eastAsia="Times New Roman" w:hAnsi="Times New Roman"/>
          <w:sz w:val="18"/>
          <w:szCs w:val="18"/>
          <w:u w:val="single" w:color="auto"/>
          <w:color w:val="auto"/>
        </w:rPr>
        <w:t>6,235</w:t>
      </w:r>
      <w:r>
        <w:rPr>
          <w:rFonts w:ascii="Times New Roman" w:cs="Times New Roman" w:eastAsia="Times New Roman" w:hAnsi="Times New Roman"/>
          <w:sz w:val="18"/>
          <w:szCs w:val="18"/>
          <w:color w:val="auto"/>
        </w:rPr>
        <w:t xml:space="preserve"> NIS (hereinafter: The </w:t>
      </w:r>
      <w:r>
        <w:rPr>
          <w:rFonts w:ascii="Times New Roman" w:cs="Times New Roman" w:eastAsia="Times New Roman" w:hAnsi="Times New Roman"/>
          <w:sz w:val="18"/>
          <w:szCs w:val="18"/>
          <w:b w:val="1"/>
          <w:bCs w:val="1"/>
          <w:color w:val="auto"/>
        </w:rPr>
        <w:t>“High-Tech Bonus”</w:t>
      </w:r>
      <w:r>
        <w:rPr>
          <w:rFonts w:ascii="Times New Roman" w:cs="Times New Roman" w:eastAsia="Times New Roman" w:hAnsi="Times New Roman"/>
          <w:sz w:val="18"/>
          <w:szCs w:val="18"/>
          <w:color w:val="auto"/>
        </w:rPr>
        <w:t>). The High-Tech Bonus shall be paid to the employee together with the salary.</w:t>
      </w:r>
    </w:p>
    <w:p>
      <w:pPr>
        <w:spacing w:after="0" w:line="162" w:lineRule="exact"/>
        <w:rPr>
          <w:sz w:val="20"/>
          <w:szCs w:val="20"/>
          <w:color w:val="auto"/>
        </w:rPr>
      </w:pPr>
    </w:p>
    <w:p>
      <w:pPr>
        <w:ind w:left="332"/>
        <w:spacing w:after="0"/>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Severance Pay and Managers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2"/>
        <w:spacing w:after="0"/>
        <w:tabs>
          <w:tab w:leader="none" w:pos="1271" w:val="left"/>
        </w:tabs>
        <w:rPr>
          <w:sz w:val="20"/>
          <w:szCs w:val="20"/>
          <w:color w:val="auto"/>
        </w:rPr>
      </w:pPr>
      <w:r>
        <w:rPr>
          <w:rFonts w:ascii="Times New Roman" w:cs="Times New Roman" w:eastAsia="Times New Roman" w:hAnsi="Times New Roman"/>
          <w:sz w:val="18"/>
          <w:szCs w:val="18"/>
          <w:color w:val="auto"/>
        </w:rPr>
        <w:t>5.5.1.</w:t>
        <w:tab/>
        <w:t>At the end of each month during the employment of Employee hereunder (or such other day as is consistent with the</w:t>
      </w:r>
    </w:p>
    <w:p>
      <w:pPr>
        <w:spacing w:after="0" w:line="27" w:lineRule="exact"/>
        <w:rPr>
          <w:sz w:val="20"/>
          <w:szCs w:val="20"/>
          <w:color w:val="auto"/>
        </w:rPr>
      </w:pPr>
    </w:p>
    <w:p>
      <w:pPr>
        <w:ind w:left="1292"/>
        <w:spacing w:after="0"/>
        <w:rPr>
          <w:sz w:val="20"/>
          <w:szCs w:val="20"/>
          <w:color w:val="auto"/>
        </w:rPr>
      </w:pPr>
      <w:r>
        <w:rPr>
          <w:rFonts w:ascii="Times New Roman" w:cs="Times New Roman" w:eastAsia="Times New Roman" w:hAnsi="Times New Roman"/>
          <w:sz w:val="18"/>
          <w:szCs w:val="18"/>
          <w:color w:val="auto"/>
        </w:rPr>
        <w:t>Company’s general practices), the Company shall pay the following sums:</w:t>
      </w:r>
    </w:p>
    <w:p>
      <w:pPr>
        <w:spacing w:after="0" w:line="207" w:lineRule="exact"/>
        <w:rPr>
          <w:sz w:val="20"/>
          <w:szCs w:val="20"/>
          <w:color w:val="auto"/>
        </w:rPr>
      </w:pPr>
    </w:p>
    <w:p>
      <w:pPr>
        <w:jc w:val="both"/>
        <w:ind w:left="1492" w:hanging="517"/>
        <w:spacing w:after="0" w:line="261" w:lineRule="auto"/>
        <w:rPr>
          <w:sz w:val="20"/>
          <w:szCs w:val="20"/>
          <w:color w:val="auto"/>
        </w:rPr>
      </w:pPr>
      <w:r>
        <w:rPr>
          <w:rFonts w:ascii="Times New Roman" w:cs="Times New Roman" w:eastAsia="Times New Roman" w:hAnsi="Times New Roman"/>
          <w:sz w:val="18"/>
          <w:szCs w:val="18"/>
          <w:color w:val="auto"/>
        </w:rPr>
        <w:t xml:space="preserve">5.5.l.l. A sum, equal to 6.5% of the sum of the Insurant Salary for the preceding month to a Managers Insurance (Bituach Minahalim)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through an agency to be selected by the Company, or if agreed to by the Company, selected by the Employee toward a pension fund. In addition, at the beginning of each month the Company shall deduct from the Salary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605790</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21" w:right="999" w:bottom="1440" w:gutter="0" w:footer="0" w:header="0"/>
        </w:sectPr>
      </w:pPr>
    </w:p>
    <w:bookmarkStart w:id="77" w:name="page78"/>
    <w:bookmarkEnd w:id="77"/>
    <w:p>
      <w:pPr>
        <w:ind w:left="1160"/>
        <w:spacing w:after="0" w:line="282" w:lineRule="auto"/>
        <w:rPr>
          <w:sz w:val="20"/>
          <w:szCs w:val="20"/>
          <w:color w:val="auto"/>
        </w:rPr>
      </w:pPr>
      <w:r>
        <w:rPr>
          <w:rFonts w:ascii="Times New Roman" w:cs="Times New Roman" w:eastAsia="Times New Roman" w:hAnsi="Times New Roman"/>
          <w:sz w:val="18"/>
          <w:szCs w:val="18"/>
          <w:color w:val="auto"/>
        </w:rPr>
        <w:t>Employee an amount equal to 6% of the Insurant Salary for the preceding month, and shall pay such amount on behalf of the Employee to such Policy.</w:t>
      </w:r>
    </w:p>
    <w:p>
      <w:pPr>
        <w:spacing w:after="0" w:line="162" w:lineRule="exact"/>
        <w:rPr>
          <w:sz w:val="20"/>
          <w:szCs w:val="20"/>
          <w:color w:val="auto"/>
        </w:rPr>
      </w:pPr>
    </w:p>
    <w:p>
      <w:pPr>
        <w:jc w:val="both"/>
        <w:ind w:left="1040" w:hanging="517"/>
        <w:spacing w:after="0" w:line="266" w:lineRule="auto"/>
        <w:rPr>
          <w:sz w:val="20"/>
          <w:szCs w:val="20"/>
          <w:color w:val="auto"/>
        </w:rPr>
      </w:pPr>
      <w:r>
        <w:rPr>
          <w:rFonts w:ascii="Times New Roman" w:cs="Times New Roman" w:eastAsia="Times New Roman" w:hAnsi="Times New Roman"/>
          <w:sz w:val="18"/>
          <w:szCs w:val="18"/>
          <w:color w:val="auto"/>
        </w:rPr>
        <w:t xml:space="preserve">5.5.1.2. A sum, equal to eight percent and one third of a percent (8.33%) of the Insurant Salary to a Severance fund, chosen by the Company (Hereinafter: </w:t>
      </w:r>
      <w:r>
        <w:rPr>
          <w:rFonts w:ascii="Times New Roman" w:cs="Times New Roman" w:eastAsia="Times New Roman" w:hAnsi="Times New Roman"/>
          <w:sz w:val="18"/>
          <w:szCs w:val="18"/>
          <w:b w:val="1"/>
          <w:bCs w:val="1"/>
          <w:color w:val="auto"/>
        </w:rPr>
        <w:t>“The Severance Policy”</w:t>
      </w:r>
      <w:r>
        <w:rPr>
          <w:rFonts w:ascii="Times New Roman" w:cs="Times New Roman" w:eastAsia="Times New Roman" w:hAnsi="Times New Roman"/>
          <w:sz w:val="18"/>
          <w:szCs w:val="18"/>
          <w:color w:val="auto"/>
        </w:rPr>
        <w:t>). The sum mentioned in this section shall be deemed as substitution for severance pay, according to Article 15 of the Severance Pay Act, 5723-1963.</w:t>
      </w:r>
    </w:p>
    <w:p>
      <w:pPr>
        <w:spacing w:after="0" w:line="176" w:lineRule="exact"/>
        <w:rPr>
          <w:sz w:val="20"/>
          <w:szCs w:val="20"/>
          <w:color w:val="auto"/>
        </w:rPr>
      </w:pPr>
    </w:p>
    <w:p>
      <w:pPr>
        <w:jc w:val="both"/>
        <w:ind w:left="1040" w:hanging="517"/>
        <w:spacing w:after="0" w:line="282" w:lineRule="auto"/>
        <w:rPr>
          <w:sz w:val="20"/>
          <w:szCs w:val="20"/>
          <w:color w:val="auto"/>
        </w:rPr>
      </w:pPr>
      <w:r>
        <w:rPr>
          <w:rFonts w:ascii="Times New Roman" w:cs="Times New Roman" w:eastAsia="Times New Roman" w:hAnsi="Times New Roman"/>
          <w:sz w:val="18"/>
          <w:szCs w:val="18"/>
          <w:color w:val="auto"/>
        </w:rPr>
        <w:t>5.5.1.3. It is hereby clarified that for the purposes of section 5.5 only, the expression “Insurant Salary” shall be interpreted as the outcome of the following sum: [Salary plus Overtime payment plus High tech Bonus].</w:t>
      </w:r>
    </w:p>
    <w:p>
      <w:pPr>
        <w:spacing w:after="0" w:line="162" w:lineRule="exact"/>
        <w:rPr>
          <w:sz w:val="20"/>
          <w:szCs w:val="20"/>
          <w:color w:val="auto"/>
        </w:rPr>
      </w:pPr>
    </w:p>
    <w:p>
      <w:pPr>
        <w:ind w:left="840" w:right="20" w:hanging="647"/>
        <w:spacing w:after="0" w:line="282" w:lineRule="auto"/>
        <w:tabs>
          <w:tab w:leader="none" w:pos="820" w:val="left"/>
        </w:tabs>
        <w:rPr>
          <w:sz w:val="20"/>
          <w:szCs w:val="20"/>
          <w:color w:val="auto"/>
        </w:rPr>
      </w:pPr>
      <w:r>
        <w:rPr>
          <w:rFonts w:ascii="Times New Roman" w:cs="Times New Roman" w:eastAsia="Times New Roman" w:hAnsi="Times New Roman"/>
          <w:sz w:val="18"/>
          <w:szCs w:val="18"/>
          <w:color w:val="auto"/>
        </w:rPr>
        <w:t>5.5.2.</w:t>
        <w:tab/>
        <w:t>Payments by the Company towards the Policy under this section 5.5 shall be on account of and not in addition to any statutory obligation to pay severance pay.</w:t>
      </w:r>
    </w:p>
    <w:p>
      <w:pPr>
        <w:spacing w:after="0" w:line="162" w:lineRule="exact"/>
        <w:rPr>
          <w:sz w:val="20"/>
          <w:szCs w:val="20"/>
          <w:color w:val="auto"/>
        </w:rPr>
      </w:pPr>
    </w:p>
    <w:p>
      <w:pPr>
        <w:ind w:left="200"/>
        <w:spacing w:after="0"/>
        <w:tabs>
          <w:tab w:leader="none" w:pos="820" w:val="left"/>
        </w:tabs>
        <w:rPr>
          <w:sz w:val="20"/>
          <w:szCs w:val="20"/>
          <w:color w:val="auto"/>
        </w:rPr>
      </w:pPr>
      <w:r>
        <w:rPr>
          <w:rFonts w:ascii="Times New Roman" w:cs="Times New Roman" w:eastAsia="Times New Roman" w:hAnsi="Times New Roman"/>
          <w:sz w:val="18"/>
          <w:szCs w:val="18"/>
          <w:color w:val="auto"/>
        </w:rPr>
        <w:t>5.5.3.</w:t>
      </w:r>
      <w:r>
        <w:rPr>
          <w:sz w:val="20"/>
          <w:szCs w:val="20"/>
          <w:color w:val="auto"/>
        </w:rPr>
        <w:tab/>
      </w:r>
      <w:r>
        <w:rPr>
          <w:rFonts w:ascii="Times New Roman" w:cs="Times New Roman" w:eastAsia="Times New Roman" w:hAnsi="Times New Roman"/>
          <w:sz w:val="17"/>
          <w:szCs w:val="17"/>
          <w:color w:val="auto"/>
        </w:rPr>
        <w:t>The Employee hereby declares that the payments under this section 5.5 are done on his authority and consent.</w:t>
      </w:r>
    </w:p>
    <w:p>
      <w:pPr>
        <w:spacing w:after="0" w:line="225" w:lineRule="exact"/>
        <w:rPr>
          <w:sz w:val="20"/>
          <w:szCs w:val="20"/>
          <w:color w:val="auto"/>
        </w:rPr>
      </w:pPr>
    </w:p>
    <w:p>
      <w:pPr>
        <w:jc w:val="both"/>
        <w:ind w:left="200" w:hanging="323"/>
        <w:spacing w:after="0" w:line="254"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Transfer of Policy and Fund</w:t>
      </w:r>
      <w:r>
        <w:rPr>
          <w:rFonts w:ascii="Times New Roman" w:cs="Times New Roman" w:eastAsia="Times New Roman" w:hAnsi="Times New Roman"/>
          <w:sz w:val="18"/>
          <w:szCs w:val="18"/>
          <w:color w:val="auto"/>
        </w:rPr>
        <w:t>. All sums accumulated as premiums in respect of the Policy, with the exception of sums accumulated in lieu of severance pay, and the Fund (whether paid by the Company or by the Employee), shall entirely belong to the Employee, and the Company shall take all such actions as are necessary to effect the same. The Company undertakes that upon the termination by the Company, or the Employee, of the Employee’s employment with the Company, it shall take all such actions and complete all such forms as are necessary to fully, automatically and unconditionally release the Policy and the Keren Hishtalmut Fund to the Employee or as the Employee shall direct. Notwithstanding the aforesaid in this sub-section, in the event of termination of the agreement by the Company for just cause, the Company may release or withhold the severance Policy at its sole and absolute discretion.</w:t>
      </w:r>
    </w:p>
    <w:p>
      <w:pPr>
        <w:spacing w:after="0" w:line="192" w:lineRule="exact"/>
        <w:rPr>
          <w:sz w:val="20"/>
          <w:szCs w:val="20"/>
          <w:color w:val="auto"/>
        </w:rPr>
      </w:pPr>
    </w:p>
    <w:p>
      <w:pPr>
        <w:jc w:val="both"/>
        <w:ind w:left="200" w:hanging="323"/>
        <w:spacing w:after="0" w:line="254"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Vacation days</w:t>
      </w:r>
      <w:r>
        <w:rPr>
          <w:rFonts w:ascii="Times New Roman" w:cs="Times New Roman" w:eastAsia="Times New Roman" w:hAnsi="Times New Roman"/>
          <w:sz w:val="18"/>
          <w:szCs w:val="18"/>
          <w:color w:val="auto"/>
        </w:rPr>
        <w:t xml:space="preserve">. The employee will be entitled to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xml:space="preserve"> business days vacation in each calendar year. It is hereby understood that it is in the interests of each of the parties that the Employee takes advantage of the vacation days granted to him for purposes of rest and relaxation and that the Company may, in its sole discretion, require the Employee to take advantage of any days vacation as may become owing to him. Notwithstanding anything to the contrary stated herein, vacation days may be carried forward from one calendar year to the next to the extent permitted by law, provided that the Employee shall not be entitled to accumulate more than 25 days vacation entitlement at any one time. The Company may, in its sole discretion, allow the redemption (for payment) of cumulated vacation days, but it hereby agreed that the Company is under no obligation to do so. Vacation days will be coordinated with the management and are contingent upon the Company’s approval. For purposes of this Section 5.7 a “Business Day” shall mean any Sunday through Friday during which the Company is open for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611505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78" w:name="page79"/>
    <w:bookmarkEnd w:id="78"/>
    <w:p>
      <w:pPr>
        <w:jc w:val="both"/>
        <w:ind w:left="388"/>
        <w:spacing w:after="0" w:line="252" w:lineRule="auto"/>
        <w:rPr>
          <w:sz w:val="20"/>
          <w:szCs w:val="20"/>
          <w:color w:val="auto"/>
        </w:rPr>
      </w:pPr>
      <w:r>
        <w:rPr>
          <w:rFonts w:ascii="Times New Roman" w:cs="Times New Roman" w:eastAsia="Times New Roman" w:hAnsi="Times New Roman"/>
          <w:sz w:val="18"/>
          <w:szCs w:val="18"/>
          <w:color w:val="auto"/>
        </w:rPr>
        <w:t>The Employee hereby acknowledges and agrees that the Company will be entitled to determine, in its discretion, mandatory vacations, during Sukkot and/or Passover holidays, or otherwise. If, at any time, the mandatory vacation days exceed the remaining vacation days accrued for the benefit of Employee, the Employee agrees and hereby requests in advance from the Company to allow him/her to accumulate negative vacation days up to a cap allowed by the Company and the rest of such excess days shall be regarded as leave without pay (“LWOP”). Company shall have the sole discretion to decide if and to what extent to accept such request on a ‘case by case’ basis. If the Company does not agree to accumulate negative vacation days for any reason, or — if the Company does allow such accumulation but ultimately it becomes unfeasible for any reason, whether by law or otherwise, the Employee agrees and hereby requests in advance that such excess leave days will be regarded as LWOP. In addition, and in any other event that Employee accumulated vacation days in excess of the total vacation days available for Employee’s benefit, the Employee agrees and hereby requests in advance that such vacation days in excess will be regarded as LWOP. If, at the time of termination of Employee’s employment for any reason, Employee has accrued negative vacation days, the Employee agrees that all amounts due from the Employee in relation to such negative vacation days will be deducted by the Company from Employee’s salary and/or from any other amount payable by the Company to the Employee or with respect to Employee’s employment.</w:t>
      </w:r>
    </w:p>
    <w:p>
      <w:pPr>
        <w:spacing w:after="0" w:line="19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Sick Leave</w:t>
      </w:r>
      <w:r>
        <w:rPr>
          <w:rFonts w:ascii="Times New Roman" w:cs="Times New Roman" w:eastAsia="Times New Roman" w:hAnsi="Times New Roman"/>
          <w:sz w:val="18"/>
          <w:szCs w:val="18"/>
          <w:color w:val="auto"/>
        </w:rPr>
        <w:t>. The Employee shall be entitled to fully paid sick leave pursuant to the Sick Pay Law 5736 - 1976.</w:t>
      </w:r>
    </w:p>
    <w:p>
      <w:pPr>
        <w:spacing w:after="0" w:line="225" w:lineRule="exact"/>
        <w:rPr>
          <w:sz w:val="20"/>
          <w:szCs w:val="20"/>
          <w:color w:val="auto"/>
        </w:rPr>
      </w:pPr>
    </w:p>
    <w:p>
      <w:pPr>
        <w:jc w:val="both"/>
        <w:ind w:left="328" w:hanging="323"/>
        <w:spacing w:after="0" w:line="266"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Expense Reimbursement.</w:t>
      </w:r>
      <w:r>
        <w:rPr>
          <w:rFonts w:ascii="Times New Roman" w:cs="Times New Roman" w:eastAsia="Times New Roman" w:hAnsi="Times New Roman"/>
          <w:sz w:val="18"/>
          <w:szCs w:val="18"/>
          <w:color w:val="auto"/>
        </w:rPr>
        <w:t xml:space="preserve"> The Company will reimburse the Employee for any documented, out-of-pocket expenses from time to time properly incurred by the Employee in connection with his employment by the Company and approved in advance by the management of the company in its absolute discretion.</w:t>
      </w:r>
    </w:p>
    <w:p>
      <w:pPr>
        <w:spacing w:after="0" w:line="176" w:lineRule="exact"/>
        <w:rPr>
          <w:sz w:val="20"/>
          <w:szCs w:val="20"/>
          <w:color w:val="auto"/>
        </w:rPr>
      </w:pPr>
    </w:p>
    <w:p>
      <w:pPr>
        <w:ind w:left="328" w:hanging="328"/>
        <w:spacing w:after="0"/>
        <w:tabs>
          <w:tab w:leader="none" w:pos="328"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 DUTY</w:t>
      </w:r>
    </w:p>
    <w:p>
      <w:pPr>
        <w:spacing w:after="0" w:line="225"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8"/>
          <w:szCs w:val="18"/>
          <w:color w:val="auto"/>
        </w:rPr>
        <w:t>The Employee shall bring to the notice of the Company any call-up order for reserve duty upon receipt of the order. The Employee shall continue to receive the salary provided for hereunder during periods of military reserve duty. The Employee hereby assigns and undertakes to pay to the Company any amounts received from the National Insurance Institute as compensation for such reserve duty service.</w:t>
      </w:r>
    </w:p>
    <w:p>
      <w:pPr>
        <w:spacing w:after="0" w:line="180" w:lineRule="exact"/>
        <w:rPr>
          <w:sz w:val="20"/>
          <w:szCs w:val="20"/>
          <w:color w:val="auto"/>
        </w:rPr>
      </w:pPr>
    </w:p>
    <w:p>
      <w:pPr>
        <w:ind w:left="328" w:hanging="328"/>
        <w:spacing w:after="0"/>
        <w:tabs>
          <w:tab w:leader="none" w:pos="32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NON-COMPETITION. TECHNOLOGY ASSIGNMENT</w:t>
      </w:r>
    </w:p>
    <w:p>
      <w:pPr>
        <w:spacing w:after="0" w:line="225" w:lineRule="exact"/>
        <w:rPr>
          <w:rFonts w:ascii="Times New Roman" w:cs="Times New Roman" w:eastAsia="Times New Roman" w:hAnsi="Times New Roman"/>
          <w:sz w:val="18"/>
          <w:szCs w:val="18"/>
          <w:color w:val="auto"/>
        </w:rPr>
      </w:pPr>
    </w:p>
    <w:p>
      <w:pPr>
        <w:ind w:left="648"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7.1. The Employee agrees to maintain the terms and conditions contained in this Agreement in strict </w:t>
      </w:r>
      <w:r>
        <w:rPr>
          <w:rFonts w:ascii="Times New Roman" w:cs="Times New Roman" w:eastAsia="Times New Roman" w:hAnsi="Times New Roman"/>
          <w:sz w:val="18"/>
          <w:szCs w:val="18"/>
          <w:u w:val="single" w:color="auto"/>
          <w:color w:val="auto"/>
        </w:rPr>
        <w:t>confidence</w:t>
      </w:r>
      <w:r>
        <w:rPr>
          <w:rFonts w:ascii="Times New Roman" w:cs="Times New Roman" w:eastAsia="Times New Roman" w:hAnsi="Times New Roman"/>
          <w:sz w:val="18"/>
          <w:szCs w:val="18"/>
          <w:color w:val="auto"/>
        </w:rPr>
        <w:t xml:space="preserve"> and shall not disclose to any third party, including any other employee of the Company, without the prior written consent of the Company.</w:t>
      </w:r>
    </w:p>
    <w:p>
      <w:pPr>
        <w:spacing w:after="0" w:line="175" w:lineRule="exact"/>
        <w:rPr>
          <w:rFonts w:ascii="Times New Roman" w:cs="Times New Roman" w:eastAsia="Times New Roman" w:hAnsi="Times New Roman"/>
          <w:sz w:val="18"/>
          <w:szCs w:val="18"/>
          <w:color w:val="auto"/>
        </w:rPr>
      </w:pPr>
    </w:p>
    <w:p>
      <w:pPr>
        <w:ind w:left="648"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7.2. The Employee shall execute an Employee Proprietary Information and Inventions Agreement in </w:t>
      </w:r>
      <w:r>
        <w:rPr>
          <w:rFonts w:ascii="Times New Roman" w:cs="Times New Roman" w:eastAsia="Times New Roman" w:hAnsi="Times New Roman"/>
          <w:sz w:val="18"/>
          <w:szCs w:val="18"/>
          <w:u w:val="single" w:color="auto"/>
          <w:color w:val="auto"/>
        </w:rPr>
        <w:t>the</w:t>
      </w:r>
      <w:r>
        <w:rPr>
          <w:rFonts w:ascii="Times New Roman" w:cs="Times New Roman" w:eastAsia="Times New Roman" w:hAnsi="Times New Roman"/>
          <w:sz w:val="18"/>
          <w:szCs w:val="18"/>
          <w:color w:val="auto"/>
        </w:rPr>
        <w:t xml:space="preserve"> form of the Agreement attached hereto as Annex A (the “Proprietary Information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594360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79" w:name="page80"/>
    <w:bookmarkEnd w:id="79"/>
    <w:p>
      <w:pPr>
        <w:jc w:val="both"/>
        <w:ind w:left="648" w:hanging="323"/>
        <w:spacing w:after="0" w:line="255" w:lineRule="auto"/>
        <w:rPr>
          <w:sz w:val="20"/>
          <w:szCs w:val="20"/>
          <w:color w:val="auto"/>
        </w:rPr>
      </w:pPr>
      <w:r>
        <w:rPr>
          <w:rFonts w:ascii="Times New Roman" w:cs="Times New Roman" w:eastAsia="Times New Roman" w:hAnsi="Times New Roman"/>
          <w:sz w:val="18"/>
          <w:szCs w:val="18"/>
          <w:color w:val="auto"/>
        </w:rPr>
        <w:t>7.3. Employee agrees that it would be difficult to measure damage to the Company from any breach of Employee of the promises set forth in this Section 7 or in the Proprietary Information Agreement, and that injury to the Company from any such breach would be impossible to calculate, and that money damages would therefore be an inadequate remedy for any such breach. Accordingly, Employee agrees that if he breaches any provision of this Section 7 or of the Proprietary Information Agreement, the Company will be entitled, in addition to all other remedies it may have, to an injunction or other appropriate orders to restrain any such breach by Employee without showing or proving any actual damage sustained by the Company.</w:t>
      </w:r>
    </w:p>
    <w:p>
      <w:pPr>
        <w:spacing w:after="0" w:line="189" w:lineRule="exact"/>
        <w:rPr>
          <w:sz w:val="20"/>
          <w:szCs w:val="20"/>
          <w:color w:val="auto"/>
        </w:rPr>
      </w:pPr>
    </w:p>
    <w:p>
      <w:pPr>
        <w:ind w:left="328" w:hanging="328"/>
        <w:spacing w:after="0"/>
        <w:tabs>
          <w:tab w:leader="none" w:pos="32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p>
    <w:p>
      <w:pPr>
        <w:spacing w:after="0" w:line="225" w:lineRule="exact"/>
        <w:rPr>
          <w:rFonts w:ascii="Times New Roman" w:cs="Times New Roman" w:eastAsia="Times New Roman" w:hAnsi="Times New Roman"/>
          <w:sz w:val="18"/>
          <w:szCs w:val="18"/>
          <w:color w:val="auto"/>
        </w:rPr>
      </w:pPr>
    </w:p>
    <w:p>
      <w:pPr>
        <w:ind w:left="648"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The Company and the Employee shall be entitled to terminate this Agreement for any reason by giving [thirty] days’ prior written notice of termination to the other party (“Prior Notice”).</w:t>
      </w:r>
    </w:p>
    <w:p>
      <w:pPr>
        <w:spacing w:after="0" w:line="161" w:lineRule="exact"/>
        <w:rPr>
          <w:rFonts w:ascii="Times New Roman" w:cs="Times New Roman" w:eastAsia="Times New Roman" w:hAnsi="Times New Roman"/>
          <w:sz w:val="18"/>
          <w:szCs w:val="18"/>
          <w:color w:val="auto"/>
        </w:rPr>
      </w:pPr>
    </w:p>
    <w:p>
      <w:pPr>
        <w:ind w:left="648"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8.2. The Company may in its discretion terminate the Employee’s employment immediately (that is, without giving notice as specified in Section 8.1 above) by giving him notice together with payment of such sum as would have been payable to him in respect of the notice period specified in Section 8.1 (“Payment in Lieu of Notice”). The employment of the Employee shall be deemed to have ceased on the date of the receipt of the Payment in Lieu of Notice.</w:t>
      </w:r>
    </w:p>
    <w:p>
      <w:pPr>
        <w:spacing w:after="0" w:line="179"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 The Company shall be entitled to terminate this Agreement immediately for the following reasons:</w:t>
      </w:r>
    </w:p>
    <w:p>
      <w:pPr>
        <w:spacing w:after="0" w:line="225" w:lineRule="exact"/>
        <w:rPr>
          <w:rFonts w:ascii="Times New Roman" w:cs="Times New Roman" w:eastAsia="Times New Roman" w:hAnsi="Times New Roman"/>
          <w:sz w:val="18"/>
          <w:szCs w:val="18"/>
          <w:color w:val="auto"/>
        </w:rPr>
      </w:pPr>
    </w:p>
    <w:p>
      <w:pPr>
        <w:ind w:left="1288" w:right="20" w:hanging="640"/>
        <w:spacing w:after="0" w:line="282"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commits a material breach of the Proprietary Information Agreement, as shall be determined in the reasonable opinion of the directors of the Company; or</w:t>
      </w:r>
    </w:p>
    <w:p>
      <w:pPr>
        <w:spacing w:after="0" w:line="161" w:lineRule="exact"/>
        <w:rPr>
          <w:rFonts w:ascii="Times New Roman" w:cs="Times New Roman" w:eastAsia="Times New Roman" w:hAnsi="Times New Roman"/>
          <w:sz w:val="18"/>
          <w:szCs w:val="18"/>
          <w:color w:val="auto"/>
        </w:rPr>
      </w:pPr>
    </w:p>
    <w:p>
      <w:pPr>
        <w:ind w:left="1288" w:hanging="640"/>
        <w:spacing w:after="0" w:line="282"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commits a material breach of this Agreement and for a period of [ten] consecutive days fails to cure such breach; or</w:t>
      </w:r>
    </w:p>
    <w:p>
      <w:pPr>
        <w:spacing w:after="0" w:line="161" w:lineRule="exact"/>
        <w:rPr>
          <w:rFonts w:ascii="Times New Roman" w:cs="Times New Roman" w:eastAsia="Times New Roman" w:hAnsi="Times New Roman"/>
          <w:sz w:val="18"/>
          <w:szCs w:val="18"/>
          <w:color w:val="auto"/>
        </w:rPr>
      </w:pPr>
    </w:p>
    <w:p>
      <w:pPr>
        <w:ind w:left="1288" w:hanging="640"/>
        <w:spacing w:after="0" w:line="282"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performs any act that entitles the Company legally to dismiss him without paying him any severance pay in connection with such dismissal; or</w:t>
      </w:r>
    </w:p>
    <w:p>
      <w:pPr>
        <w:spacing w:after="0" w:line="161" w:lineRule="exact"/>
        <w:rPr>
          <w:rFonts w:ascii="Times New Roman" w:cs="Times New Roman" w:eastAsia="Times New Roman" w:hAnsi="Times New Roman"/>
          <w:sz w:val="18"/>
          <w:szCs w:val="18"/>
          <w:color w:val="auto"/>
        </w:rPr>
      </w:pPr>
    </w:p>
    <w:p>
      <w:pPr>
        <w:jc w:val="both"/>
        <w:ind w:left="1288" w:hanging="640"/>
        <w:spacing w:after="0" w:line="266" w:lineRule="auto"/>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“disability” means a physical or mental infirmity which impairs the Employee’s ability to substantially perform his duties under this Agreement which continues for a period of at least ninety (90) consecutive days; or</w:t>
      </w:r>
    </w:p>
    <w:p>
      <w:pPr>
        <w:spacing w:after="0" w:line="175" w:lineRule="exact"/>
        <w:rPr>
          <w:rFonts w:ascii="Times New Roman" w:cs="Times New Roman" w:eastAsia="Times New Roman" w:hAnsi="Times New Roman"/>
          <w:sz w:val="18"/>
          <w:szCs w:val="18"/>
          <w:color w:val="auto"/>
        </w:rPr>
      </w:pPr>
    </w:p>
    <w:p>
      <w:pPr>
        <w:ind w:left="1288" w:hanging="640"/>
        <w:spacing w:after="0"/>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is convicted of a crime of moral turpitude or dishonesty; or</w:t>
      </w:r>
    </w:p>
    <w:p>
      <w:pPr>
        <w:spacing w:after="0" w:line="225" w:lineRule="exact"/>
        <w:rPr>
          <w:rFonts w:ascii="Times New Roman" w:cs="Times New Roman" w:eastAsia="Times New Roman" w:hAnsi="Times New Roman"/>
          <w:sz w:val="18"/>
          <w:szCs w:val="18"/>
          <w:color w:val="auto"/>
        </w:rPr>
      </w:pPr>
    </w:p>
    <w:p>
      <w:pPr>
        <w:ind w:left="1288" w:hanging="640"/>
        <w:spacing w:after="0"/>
        <w:tabs>
          <w:tab w:leader="none" w:pos="128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Trial Period.</w:t>
      </w:r>
    </w:p>
    <w:p>
      <w:pPr>
        <w:spacing w:after="0" w:line="225" w:lineRule="exact"/>
        <w:rPr>
          <w:sz w:val="20"/>
          <w:szCs w:val="20"/>
          <w:color w:val="auto"/>
        </w:rPr>
      </w:pPr>
    </w:p>
    <w:p>
      <w:pPr>
        <w:jc w:val="both"/>
        <w:ind w:left="648" w:hanging="323"/>
        <w:spacing w:after="0" w:line="261" w:lineRule="auto"/>
        <w:rPr>
          <w:sz w:val="20"/>
          <w:szCs w:val="20"/>
          <w:color w:val="auto"/>
        </w:rPr>
      </w:pPr>
      <w:r>
        <w:rPr>
          <w:rFonts w:ascii="Times New Roman" w:cs="Times New Roman" w:eastAsia="Times New Roman" w:hAnsi="Times New Roman"/>
          <w:sz w:val="18"/>
          <w:szCs w:val="18"/>
          <w:color w:val="auto"/>
        </w:rPr>
        <w:t>8.4. In the event that the Employee does not deliver to the Employer the Prior Notice as required by section 8.1, the Employee shall pay compensation to the Employer of an amount equal to the salary to which the Employee would have been entitled during the period of the Prior Notice. The Employer shall be entitled to deduct such sum from any monies due and payable to the Employee.</w:t>
      </w:r>
    </w:p>
    <w:p>
      <w:pPr>
        <w:spacing w:after="0" w:line="180" w:lineRule="exact"/>
        <w:rPr>
          <w:sz w:val="20"/>
          <w:szCs w:val="20"/>
          <w:color w:val="auto"/>
        </w:rPr>
      </w:pPr>
    </w:p>
    <w:p>
      <w:pPr>
        <w:jc w:val="both"/>
        <w:ind w:left="648" w:hanging="323"/>
        <w:spacing w:after="0" w:line="282" w:lineRule="auto"/>
        <w:rPr>
          <w:sz w:val="20"/>
          <w:szCs w:val="20"/>
          <w:color w:val="auto"/>
        </w:rPr>
      </w:pPr>
      <w:r>
        <w:rPr>
          <w:rFonts w:ascii="Times New Roman" w:cs="Times New Roman" w:eastAsia="Times New Roman" w:hAnsi="Times New Roman"/>
          <w:sz w:val="18"/>
          <w:szCs w:val="18"/>
          <w:color w:val="auto"/>
        </w:rPr>
        <w:t>8.5. In the event that this Agreement shall be terminated in circumstances which would entitle the Employee to receive severance pay under the Severance Pay Law 5723-1963, the Employer shall transfer the Policy to the Employee.</w:t>
      </w:r>
    </w:p>
    <w:p>
      <w:pPr>
        <w:spacing w:after="0" w:line="162" w:lineRule="exact"/>
        <w:rPr>
          <w:sz w:val="20"/>
          <w:szCs w:val="20"/>
          <w:color w:val="auto"/>
        </w:rPr>
      </w:pPr>
    </w:p>
    <w:p>
      <w:pPr>
        <w:jc w:val="both"/>
        <w:ind w:left="648" w:hanging="323"/>
        <w:spacing w:after="0" w:line="282" w:lineRule="auto"/>
        <w:rPr>
          <w:sz w:val="20"/>
          <w:szCs w:val="20"/>
          <w:color w:val="auto"/>
        </w:rPr>
      </w:pPr>
      <w:r>
        <w:rPr>
          <w:rFonts w:ascii="Times New Roman" w:cs="Times New Roman" w:eastAsia="Times New Roman" w:hAnsi="Times New Roman"/>
          <w:sz w:val="18"/>
          <w:szCs w:val="18"/>
          <w:color w:val="auto"/>
        </w:rPr>
        <w:t>8.6. Subject to the receipt by the Employee of Prior Notice from the Employer, the Employee hereby undertakes in favor of the Company that prior to termination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594360</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80" w:name="page81"/>
    <w:bookmarkEnd w:id="80"/>
    <w:p>
      <w:pPr>
        <w:jc w:val="both"/>
        <w:ind w:left="648"/>
        <w:spacing w:after="0" w:line="266" w:lineRule="auto"/>
        <w:rPr>
          <w:sz w:val="20"/>
          <w:szCs w:val="20"/>
          <w:color w:val="auto"/>
        </w:rPr>
      </w:pPr>
      <w:r>
        <w:rPr>
          <w:rFonts w:ascii="Times New Roman" w:cs="Times New Roman" w:eastAsia="Times New Roman" w:hAnsi="Times New Roman"/>
          <w:sz w:val="18"/>
          <w:szCs w:val="18"/>
          <w:color w:val="auto"/>
        </w:rPr>
        <w:t>Agreement for any reason, he shall train his successor and provide him with orderly explanations of all information and knowledge required to enable such successor to perform the duties in a manner similar to the manner in which the Employee performed such duties. The Company shall be entitled to cancel and revoke the provisions of this subsection.</w:t>
      </w:r>
    </w:p>
    <w:p>
      <w:pPr>
        <w:spacing w:after="0" w:line="176" w:lineRule="exact"/>
        <w:rPr>
          <w:sz w:val="20"/>
          <w:szCs w:val="20"/>
          <w:color w:val="auto"/>
        </w:rPr>
      </w:pPr>
    </w:p>
    <w:p>
      <w:pPr>
        <w:ind w:left="648" w:right="20" w:hanging="323"/>
        <w:spacing w:after="0" w:line="282" w:lineRule="auto"/>
        <w:rPr>
          <w:sz w:val="20"/>
          <w:szCs w:val="20"/>
          <w:color w:val="auto"/>
        </w:rPr>
      </w:pPr>
      <w:r>
        <w:rPr>
          <w:rFonts w:ascii="Times New Roman" w:cs="Times New Roman" w:eastAsia="Times New Roman" w:hAnsi="Times New Roman"/>
          <w:sz w:val="18"/>
          <w:szCs w:val="18"/>
          <w:color w:val="auto"/>
        </w:rPr>
        <w:t>8.7. In the event that the employment of the Employee is terminated, the Employee shall immediately retum all documents, information, reports, possessions or other assets belonging to the Employer.</w:t>
      </w:r>
    </w:p>
    <w:p>
      <w:pPr>
        <w:spacing w:after="0" w:line="162" w:lineRule="exact"/>
        <w:rPr>
          <w:sz w:val="20"/>
          <w:szCs w:val="20"/>
          <w:color w:val="auto"/>
        </w:rPr>
      </w:pPr>
    </w:p>
    <w:p>
      <w:pPr>
        <w:ind w:left="328" w:hanging="328"/>
        <w:spacing w:after="0"/>
        <w:tabs>
          <w:tab w:leader="none" w:pos="32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rFonts w:ascii="Times New Roman" w:cs="Times New Roman" w:eastAsia="Times New Roman" w:hAnsi="Times New Roman"/>
          <w:sz w:val="18"/>
          <w:szCs w:val="18"/>
          <w:color w:val="auto"/>
        </w:rPr>
      </w:pPr>
    </w:p>
    <w:p>
      <w:pPr>
        <w:ind w:left="648"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This Agreement shall be governed by and construed and enforced in accordance with the laws of the State of Israel, without giving effect to the rules respecting conflict of law.</w:t>
      </w:r>
    </w:p>
    <w:p>
      <w:pPr>
        <w:spacing w:after="0" w:line="161" w:lineRule="exact"/>
        <w:rPr>
          <w:rFonts w:ascii="Times New Roman" w:cs="Times New Roman" w:eastAsia="Times New Roman" w:hAnsi="Times New Roman"/>
          <w:sz w:val="18"/>
          <w:szCs w:val="18"/>
          <w:color w:val="auto"/>
        </w:rPr>
      </w:pPr>
    </w:p>
    <w:p>
      <w:pPr>
        <w:ind w:left="648" w:hanging="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The failure of either party to insist upon the strict performance of any of the terms, conditions and provisions of this Agreement shall not be construed as a waiver or relinquishment of future compliance therewith or with any other term, condition or provision hereof, and said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83" w:lineRule="exact"/>
        <w:rPr>
          <w:rFonts w:ascii="Times New Roman" w:cs="Times New Roman" w:eastAsia="Times New Roman" w:hAnsi="Times New Roman"/>
          <w:sz w:val="18"/>
          <w:szCs w:val="18"/>
          <w:color w:val="auto"/>
        </w:rPr>
      </w:pPr>
    </w:p>
    <w:p>
      <w:pPr>
        <w:ind w:left="32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The headings of paragraphs are inserted for convenience and shall not affect any interpretation of this Agreement.</w:t>
      </w:r>
    </w:p>
    <w:p>
      <w:pPr>
        <w:spacing w:after="0" w:line="225" w:lineRule="exact"/>
        <w:rPr>
          <w:rFonts w:ascii="Times New Roman" w:cs="Times New Roman" w:eastAsia="Times New Roman" w:hAnsi="Times New Roman"/>
          <w:sz w:val="18"/>
          <w:szCs w:val="18"/>
          <w:color w:val="auto"/>
        </w:rPr>
      </w:pPr>
    </w:p>
    <w:p>
      <w:pPr>
        <w:ind w:left="648" w:right="20" w:hanging="324"/>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The provisions of this Agreement shall be deemed severable and the invalidity or unenforceability of any provision shall not affect the validity or enforceability of the other provisions hereof.</w:t>
      </w:r>
    </w:p>
    <w:p>
      <w:pPr>
        <w:spacing w:after="0" w:line="161" w:lineRule="exact"/>
        <w:rPr>
          <w:rFonts w:ascii="Times New Roman" w:cs="Times New Roman" w:eastAsia="Times New Roman" w:hAnsi="Times New Roman"/>
          <w:sz w:val="18"/>
          <w:szCs w:val="18"/>
          <w:color w:val="auto"/>
        </w:rPr>
      </w:pPr>
    </w:p>
    <w:p>
      <w:pPr>
        <w:ind w:left="648" w:hanging="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This Agreement together with the Proprietary Information Agreement constitutes the entire agreement between the parties hereto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by either party which are not expressly set forth in this Agreement and the Proprietary Information Agreement.</w:t>
      </w:r>
    </w:p>
    <w:p>
      <w:pPr>
        <w:spacing w:after="0" w:line="183" w:lineRule="exact"/>
        <w:rPr>
          <w:rFonts w:ascii="Times New Roman" w:cs="Times New Roman" w:eastAsia="Times New Roman" w:hAnsi="Times New Roman"/>
          <w:sz w:val="18"/>
          <w:szCs w:val="18"/>
          <w:color w:val="auto"/>
        </w:rPr>
      </w:pPr>
    </w:p>
    <w:p>
      <w:pPr>
        <w:ind w:left="648" w:hanging="324"/>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This Agreement shall be binding upon and shall inure to the benefit of the Company, its successors and assigns, and the Company shall require such successor or assign to expressly assume and agree to perform this Agreement in the same manner and to the same extent that the Company would be required to perform it if no such succession or assignment had taken place. The term “successors and assigns” as used herein shall mean a corporation or other entity acquiring all or substantially all the assets and business of the Company (including this Agreement) whether by operation of law or otherwise.</w:t>
      </w:r>
    </w:p>
    <w:p>
      <w:pPr>
        <w:spacing w:after="0" w:line="187" w:lineRule="exact"/>
        <w:rPr>
          <w:rFonts w:ascii="Times New Roman" w:cs="Times New Roman" w:eastAsia="Times New Roman" w:hAnsi="Times New Roman"/>
          <w:sz w:val="18"/>
          <w:szCs w:val="18"/>
          <w:color w:val="auto"/>
        </w:rPr>
      </w:pPr>
    </w:p>
    <w:p>
      <w:pPr>
        <w:ind w:left="648" w:hanging="32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Neither this Agreement nor any right or interest hereunder shall be assignable or transferable by the Employee, his beneficiaries or legal representatives, except by will or by the laws of descent and distribution. This Agreement shall inure to the benefit of and be enforceable by the Employee’s legal personal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603250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8"/>
          </w:cols>
          <w:pgMar w:left="1312" w:top="12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color w:val="auto"/>
        </w:rPr>
        <w:t>IN WITNESS WHEREOF, the parties hereto have executed this Agreement as of the day and year first above written.</w:t>
      </w:r>
    </w:p>
    <w:p>
      <w:pPr>
        <w:spacing w:after="0" w:line="23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Mobileye Vision Technologies Ltd.</w:t>
      </w:r>
    </w:p>
    <w:p>
      <w:pPr>
        <w:spacing w:after="0" w:line="229"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Pini Segal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28289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Pini Segal,</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VP Finance &amp; HR</w:t>
      </w:r>
    </w:p>
    <w:p>
      <w:pPr>
        <w:spacing w:after="0" w:line="207"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Ofer Maharshak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28289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Ofer Maharshak,</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Senior VP, CFO</w:t>
      </w:r>
    </w:p>
    <w:p>
      <w:pPr>
        <w:spacing w:after="0" w:line="207" w:lineRule="exact"/>
        <w:rPr>
          <w:sz w:val="20"/>
          <w:szCs w:val="20"/>
          <w:color w:val="auto"/>
        </w:rPr>
      </w:pPr>
    </w:p>
    <w:p>
      <w:pPr>
        <w:ind w:left="4940"/>
        <w:spacing w:after="0"/>
        <w:tabs>
          <w:tab w:leader="none" w:pos="5400" w:val="left"/>
        </w:tabs>
        <w:rPr>
          <w:sz w:val="20"/>
          <w:szCs w:val="20"/>
          <w:color w:val="auto"/>
        </w:rPr>
      </w:pPr>
      <w:r>
        <w:rPr>
          <w:rFonts w:ascii="Times New Roman" w:cs="Times New Roman" w:eastAsia="Times New Roman" w:hAnsi="Times New Roman"/>
          <w:sz w:val="18"/>
          <w:szCs w:val="18"/>
          <w:color w:val="auto"/>
        </w:rPr>
        <w:t>By:</w:t>
        <w:tab/>
        <w:t>/s/ Kobi Ohayon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17145</wp:posOffset>
            </wp:positionV>
            <wp:extent cx="28289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Kobi Ohayon</w:t>
      </w:r>
    </w:p>
    <w:p>
      <w:pPr>
        <w:spacing w:after="0" w:line="23"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the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485775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39"/>
          </w:cols>
          <w:pgMar w:left="1020" w:top="121" w:right="1440"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10.28</w:t>
      </w:r>
    </w:p>
    <w:p>
      <w:pPr>
        <w:spacing w:after="0" w:line="2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AMENDMENT TO RESTRICTED STOCK UNIT AGREEMENTS</w:t>
      </w:r>
    </w:p>
    <w:p>
      <w:pPr>
        <w:spacing w:after="0" w:line="225"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color w:val="auto"/>
        </w:rPr>
        <w:t>This Amendment to Restricted Stock Unit Agreements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effective as of October 28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by and between Mobileye Global Inc., a Delaware corporation (the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and Yaacov Ohayon (the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W I T N E S S E T H:</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are parties to certain Restricted Stock Unit Agreements for grants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July 23, 2026, and particularly on July 10, 2024 (grant No. 00006374), July 10, 2025 (grant No. 00011927), and July 10, 2026 (grant No. 00013848) (each an “</w:t>
      </w:r>
      <w:r>
        <w:rPr>
          <w:rFonts w:ascii="Times New Roman" w:cs="Times New Roman" w:eastAsia="Times New Roman" w:hAnsi="Times New Roman"/>
          <w:sz w:val="18"/>
          <w:szCs w:val="18"/>
          <w:b w:val="1"/>
          <w:bCs w:val="1"/>
          <w:color w:val="auto"/>
        </w:rPr>
        <w:t>RSU Agreement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RSU Agreements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are also parties to a Restricted Stock Unit Agreement for grant made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10, 2026 (grant No. 00017115) (the “Additional Grant Agreement”. For avoidance of doubt, the Additional Grant Agreement is not part of the RSU Agreements defined above)</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have agreed to modify the RSU Agreements and the Additional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in certain respects with respect to RSUs which are unvested as of the Effective Date;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Corporation and the Employee desire to have the terms and conditions set forth in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supersede any conflicting terms and conditions set forth in the RSU Agreements; and</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any terms and conditions of the RSU Agreements that are not inconsistent with the terms and conditions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this Amendment are understood and agreed to continue in full force and effect, without change.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contained in this Amendment and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good and valuable consideration, the Corporation and the Employee, intending to be legally bound, hereby agree as follows:</w:t>
      </w:r>
    </w:p>
    <w:p>
      <w:pPr>
        <w:spacing w:after="0" w:line="159" w:lineRule="exact"/>
        <w:rPr>
          <w:sz w:val="20"/>
          <w:szCs w:val="20"/>
          <w:color w:val="auto"/>
        </w:rPr>
      </w:pPr>
    </w:p>
    <w:p>
      <w:pPr>
        <w:ind w:firstLine="640"/>
        <w:spacing w:after="0" w:line="282" w:lineRule="auto"/>
        <w:tabs>
          <w:tab w:leader="none" w:pos="97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Section 6 of each of the RSU Agreements and the Additional Grant Agreement are hereby amended by adding the following paragraph to the end thereof as set forth below:</w:t>
      </w:r>
    </w:p>
    <w:p>
      <w:pPr>
        <w:spacing w:after="0" w:line="15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b w:val="1"/>
          <w:bCs w:val="1"/>
          <w:color w:val="auto"/>
        </w:rPr>
        <w:t>Change in Control Double Trigger Acceleration:</w:t>
      </w:r>
    </w:p>
    <w:p>
      <w:pPr>
        <w:spacing w:after="0" w:line="229" w:lineRule="exact"/>
        <w:rPr>
          <w:sz w:val="20"/>
          <w:szCs w:val="20"/>
          <w:color w:val="auto"/>
        </w:rPr>
      </w:pPr>
    </w:p>
    <w:p>
      <w:pPr>
        <w:jc w:val="both"/>
        <w:ind w:left="960"/>
        <w:spacing w:after="0" w:line="261" w:lineRule="auto"/>
        <w:rPr>
          <w:sz w:val="20"/>
          <w:szCs w:val="20"/>
          <w:color w:val="auto"/>
        </w:rPr>
      </w:pPr>
      <w:r>
        <w:rPr>
          <w:rFonts w:ascii="Times New Roman" w:cs="Times New Roman" w:eastAsia="Times New Roman" w:hAnsi="Times New Roman"/>
          <w:sz w:val="18"/>
          <w:szCs w:val="18"/>
          <w:color w:val="auto"/>
        </w:rPr>
        <w:t>Notwithstanding any terms or conditions set forth herein to the contrary, in the event that all the following events occur: (i) the first Change in Control occurring after the Effective Date (the “</w:t>
      </w:r>
      <w:r>
        <w:rPr>
          <w:rFonts w:ascii="Times New Roman" w:cs="Times New Roman" w:eastAsia="Times New Roman" w:hAnsi="Times New Roman"/>
          <w:sz w:val="18"/>
          <w:szCs w:val="18"/>
          <w:b w:val="1"/>
          <w:bCs w:val="1"/>
          <w:color w:val="auto"/>
        </w:rPr>
        <w:t>Applicable Change in Control</w:t>
      </w:r>
      <w:r>
        <w:rPr>
          <w:rFonts w:ascii="Times New Roman" w:cs="Times New Roman" w:eastAsia="Times New Roman" w:hAnsi="Times New Roman"/>
          <w:sz w:val="18"/>
          <w:szCs w:val="18"/>
          <w:color w:val="auto"/>
        </w:rPr>
        <w:t>”) occurs,</w:t>
      </w:r>
    </w:p>
    <w:p>
      <w:pPr>
        <w:ind w:left="960" w:right="20" w:firstLine="4"/>
        <w:spacing w:after="0" w:line="260" w:lineRule="auto"/>
        <w:tabs>
          <w:tab w:leader="none" w:pos="122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employment is terminated by the Corporation or any Subsidiary without Cause (and without you being rehired by the Corporation or any Subsidiary as further described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17" w:right="999" w:bottom="1440" w:gutter="0" w:footer="0" w:header="0"/>
        </w:sectPr>
      </w:pPr>
    </w:p>
    <w:bookmarkStart w:id="83" w:name="page84"/>
    <w:bookmarkEnd w:id="83"/>
    <w:p>
      <w:pPr>
        <w:jc w:val="both"/>
        <w:ind w:left="840"/>
        <w:spacing w:after="0" w:line="253" w:lineRule="auto"/>
        <w:rPr>
          <w:sz w:val="20"/>
          <w:szCs w:val="20"/>
          <w:color w:val="auto"/>
        </w:rPr>
      </w:pPr>
      <w:r>
        <w:rPr>
          <w:rFonts w:ascii="Times New Roman" w:cs="Times New Roman" w:eastAsia="Times New Roman" w:hAnsi="Times New Roman"/>
          <w:sz w:val="18"/>
          <w:szCs w:val="18"/>
          <w:color w:val="auto"/>
        </w:rPr>
        <w:t>in this Section 6 above) or you voluntarily resign for Good Reason, in either case within three (3) months prior to the occurrence of the Applicable Change in Control (a “</w:t>
      </w:r>
      <w:r>
        <w:rPr>
          <w:rFonts w:ascii="Times New Roman" w:cs="Times New Roman" w:eastAsia="Times New Roman" w:hAnsi="Times New Roman"/>
          <w:sz w:val="18"/>
          <w:szCs w:val="18"/>
          <w:b w:val="1"/>
          <w:bCs w:val="1"/>
          <w:color w:val="auto"/>
        </w:rPr>
        <w:t>Pre-CIC Termination</w:t>
      </w:r>
      <w:r>
        <w:rPr>
          <w:rFonts w:ascii="Times New Roman" w:cs="Times New Roman" w:eastAsia="Times New Roman" w:hAnsi="Times New Roman"/>
          <w:sz w:val="18"/>
          <w:szCs w:val="18"/>
          <w:color w:val="auto"/>
        </w:rPr>
        <w:t xml:space="preserve">”) or eighteen (18) months following the occurrence of the Applicable Change in Control and (iii) you sign and do not revoke a Release, and such Release becomes effective within 60 days following the date your employment terminates, then each of your RSUs or any award received in exchange thereof in connection with the Applicable Change in Control which is unvested as of the date of termination shall fully accelerate and become fully vested on the date of effectiveness of the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60-day period spans two calendar years, such vesting shall occur on the first day of the later of such calendar years. In the case of a Pre-CIC Termination, such acceleration shall occur after the occurrence of the Applicable Change in Control and shall be subject to you signing and non-revocation of a bring-down Release at such time.</w:t>
      </w:r>
    </w:p>
    <w:p>
      <w:pPr>
        <w:spacing w:after="0" w:line="194"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For the avoidance of doubt, the protection provided under this Section 6 is a one-time protection that applies only in connection with the Applicable Change in Control. The 18-month period following the occurrence of an Applicable Change in Control shall commence on the date of the Applicable Change of Control and shall not restart, renew, extend or create any new protection period or otherwise give rise to any additional right or benefit under this Section 6 as a result of any subsequent Change in Control, whether or not you remain employed following the Applicable Change in Control.</w:t>
      </w:r>
    </w:p>
    <w:p>
      <w:pPr>
        <w:spacing w:after="0" w:line="18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Definitions:</w:t>
      </w:r>
    </w:p>
    <w:p>
      <w:pPr>
        <w:spacing w:after="0" w:line="2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means any one or more of the following events:</w:t>
      </w:r>
    </w:p>
    <w:p>
      <w:pPr>
        <w:spacing w:after="0" w:line="229" w:lineRule="exact"/>
        <w:rPr>
          <w:sz w:val="20"/>
          <w:szCs w:val="20"/>
          <w:color w:val="auto"/>
        </w:rPr>
      </w:pPr>
    </w:p>
    <w:p>
      <w:pPr>
        <w:jc w:val="both"/>
        <w:ind w:left="1160" w:hanging="316"/>
        <w:spacing w:after="0" w:line="255" w:lineRule="auto"/>
        <w:tabs>
          <w:tab w:leader="none" w:pos="1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any group of Persons (as defined below) acting together which would constitute a “group” for purposes of Section 13(d) of the United States Securities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becomes the Beneficial Owner (as defined below), directly or indirectly, of securities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including in the securities beneficially owned by such Person any securities acquired directly from the Corporation or its affiliates) representing greater than fifty percent (50%) of the combined voting power of the Corporation’s then outstanding securities, excluding any Person who becomes such a Beneficial Owner in connection with a transaction described in clause (I) of paragraph (iii) below</w:t>
      </w:r>
    </w:p>
    <w:p>
      <w:pPr>
        <w:spacing w:after="0" w:line="188" w:lineRule="exact"/>
        <w:rPr>
          <w:rFonts w:ascii="Times New Roman" w:cs="Times New Roman" w:eastAsia="Times New Roman" w:hAnsi="Times New Roman"/>
          <w:sz w:val="18"/>
          <w:szCs w:val="18"/>
          <w:color w:val="auto"/>
        </w:rPr>
      </w:pPr>
    </w:p>
    <w:p>
      <w:pPr>
        <w:jc w:val="both"/>
        <w:ind w:left="1160" w:hanging="316"/>
        <w:spacing w:after="0" w:line="255" w:lineRule="auto"/>
        <w:tabs>
          <w:tab w:leader="none" w:pos="11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individuals cease for any reason to constitute a majority of the number of directors then serving on the Board of Directors of the Corporation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individuals who, on the Effective Date,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84" w:name="page85"/>
    <w:bookmarkEnd w:id="84"/>
    <w:p>
      <w:pPr>
        <w:ind w:left="1160"/>
        <w:spacing w:after="0" w:line="282" w:lineRule="auto"/>
        <w:rPr>
          <w:sz w:val="20"/>
          <w:szCs w:val="20"/>
          <w:color w:val="auto"/>
        </w:rPr>
      </w:pPr>
      <w:r>
        <w:rPr>
          <w:rFonts w:ascii="Times New Roman" w:cs="Times New Roman" w:eastAsia="Times New Roman" w:hAnsi="Times New Roman"/>
          <w:sz w:val="18"/>
          <w:szCs w:val="18"/>
          <w:color w:val="auto"/>
        </w:rPr>
        <w:t>were directors on the Effective Date or whose appointment, election or nomination for election was previously so approved or recommended;</w:t>
      </w:r>
    </w:p>
    <w:p>
      <w:pPr>
        <w:spacing w:after="0" w:line="162" w:lineRule="exact"/>
        <w:rPr>
          <w:sz w:val="20"/>
          <w:szCs w:val="20"/>
          <w:color w:val="auto"/>
        </w:rPr>
      </w:pPr>
    </w:p>
    <w:p>
      <w:pPr>
        <w:jc w:val="both"/>
        <w:ind w:left="1160" w:hanging="316"/>
        <w:spacing w:after="0" w:line="252" w:lineRule="auto"/>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amalgamation or consolidation of the Corporation with any other corporation or other entity, other than (I) a merger, amalgamation or consolidation (A) which results in the voting securities of the Corporation outstanding immediately prior to such merger, amalgamation or consolidation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of its subsidiaries at least fifty percent (50%) of the combined voting power of the securities of the Corporation or such surviving entity or any parent thereof outstanding immediately after such merger, amalgamation or consolidation and (B) immediately following which the individuals who comprise the Board immediately prior thereto constitute at least a majority of the board of directors of the Corporation, the entity surviving such merger, amalgamation or consolidation or, if the Corporation or the entity surviving such merger, amalgamation or consolidation is then a subsidiary, the ultimate parent thereof, or (II) a merger, amalgamation or consolidation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greater than fifty percent (50%) of the combined voting power of the Corporation’s then outstanding securities; or</w:t>
      </w:r>
    </w:p>
    <w:p>
      <w:pPr>
        <w:spacing w:after="0" w:line="194" w:lineRule="exact"/>
        <w:rPr>
          <w:rFonts w:ascii="Times New Roman" w:cs="Times New Roman" w:eastAsia="Times New Roman" w:hAnsi="Times New Roman"/>
          <w:sz w:val="18"/>
          <w:szCs w:val="18"/>
          <w:color w:val="auto"/>
        </w:rPr>
      </w:pPr>
    </w:p>
    <w:p>
      <w:pPr>
        <w:jc w:val="both"/>
        <w:ind w:left="1160" w:hanging="316"/>
        <w:spacing w:after="0" w:line="254" w:lineRule="auto"/>
        <w:tabs>
          <w:tab w:leader="none" w:pos="11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an agreement for the sale or disposition by the Corporation of all or substantially all of the Corporation’s assets, other than (A) a sale or disposition by the Corporation of all or substantially all of the Corporation’s assets to an entity, at least fifty percent (50%) of the combined voting power of the voting securities of which are owned by stockholders of the Corporation following the completion of such transaction in substantially the same proportions as their ownership of the Corporation immediately prior to such sale or (B) a sale or disposition of all or substantially all of the Corporation’s assets immediately following which the individuals who comprise the Board immediately prior thereto constitute at least a majority of the board of directors of the entity to which such assets are sold or disposed or, if such entity is a subsidiary, the ultimate parent thereof.</w:t>
      </w:r>
    </w:p>
    <w:p>
      <w:pPr>
        <w:spacing w:after="0" w:line="18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ascribed to such term in Rule 13d-3 under the Exchange Act.</w:t>
      </w:r>
    </w:p>
    <w:p>
      <w:pPr>
        <w:spacing w:after="0" w:line="225" w:lineRule="exact"/>
        <w:rPr>
          <w:sz w:val="20"/>
          <w:szCs w:val="20"/>
          <w:color w:val="auto"/>
        </w:rPr>
      </w:pPr>
    </w:p>
    <w:p>
      <w:pPr>
        <w:jc w:val="both"/>
        <w:ind w:left="8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means the occurrence of any of the following events: (i) you commit a material breach of the Proprietary Information and Inventions Agreement, as shall be determined in the reasonable opinion of the Board, (ii) you commit a material breach of your Employment Agreement, RSU Agreements or this Amendment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85" w:name="page86"/>
    <w:bookmarkEnd w:id="85"/>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for a period of 10 consecutive days fail to cure such breach (iii) you perform any act that entitles the Corporation or any Subsidiary to legally dismiss you without paying any severance pay in connection with such dismissal or (iv) you are convicted of a crime of moral turpitude or dishonesty.</w:t>
      </w:r>
    </w:p>
    <w:p>
      <w:pPr>
        <w:spacing w:after="0" w:line="172" w:lineRule="exact"/>
        <w:rPr>
          <w:sz w:val="20"/>
          <w:szCs w:val="20"/>
          <w:color w:val="auto"/>
        </w:rPr>
      </w:pPr>
    </w:p>
    <w:p>
      <w:pPr>
        <w:jc w:val="both"/>
        <w:ind w:left="8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xml:space="preserve">” means the occurrence, without your express written consent, of any of the following events: (i) a material reduction in your title, duties, responsibilities or authority, or a material adverse change in your reporting relationships, (ii) a material reduction of your Salary, the Benefits, or any other material compensation or benefits as in effect on the Effective Date, or (iii) a reduction in your status to below 80% of full-time employment;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event shall constitute Good Reason unless (x) you provide written notice to your employer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of the condition giving rise to Good Reason within 30 days of the initial occurrence of such condition, (y) the Corporation or your employer fail to cure such condition within 30 days following receipt of such notice and (z) you terminate employment within 30 days following the expiration of the cure period.</w:t>
      </w:r>
    </w:p>
    <w:p>
      <w:pPr>
        <w:spacing w:after="0" w:line="185" w:lineRule="exact"/>
        <w:rPr>
          <w:sz w:val="20"/>
          <w:szCs w:val="20"/>
          <w:color w:val="auto"/>
        </w:rPr>
      </w:pPr>
    </w:p>
    <w:p>
      <w:pPr>
        <w:jc w:val="both"/>
        <w:ind w:left="8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has the meaning ascribed to such term in Section 3(a)(9) of the Exchange Act and used in Sections 13(d) and 14(d) thereof, including a “group” as defined in Section 13(d) thereof.</w:t>
      </w:r>
    </w:p>
    <w:p>
      <w:pPr>
        <w:spacing w:after="0" w:line="159"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8"/>
          <w:szCs w:val="18"/>
          <w:color w:val="auto"/>
        </w:rPr>
        <w:t>Notwithstanding the foregoing, for each RSU that constitutes deferred compensation under Section 409A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to the extent required to avoid accelerated taxation and/or tax penalties under Section 409A of the Code, the Applicable Change in Control shall be deemed to have occurred under the Plan with respect to such RSU only if a change in the ownership or effective control of the Corporation or a change in ownership of a substantial portion of the assets of the Corporation shall also be deemed to have occurred under Section 409A of the Code.</w:t>
      </w:r>
    </w:p>
    <w:p>
      <w:pPr>
        <w:spacing w:after="0" w:line="187"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8"/>
          <w:szCs w:val="18"/>
          <w:color w:val="auto"/>
        </w:rPr>
        <w:t>Notwithstanding anything in this Amendment or the RSU Agreements and the Additional Grant Agreement to the contrary, if any payment or distribution to you pursuant to the RSU Agreements, this Amendment, or otherwise (the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then such Payment shall either be (A) delivered in full or (B) delivered as to such lesser extent which would result in no portion of such Payment being subject to the Excise Tax, whichever of the foregoing amounts, taking into account the applicable federal, state and local income taxes and the Excise Tax, results in your receipt on an after-tax basis, of the largest payment, notwithstanding that all or some portion the Payment may be taxable under Section 4999 of the Code.</w:t>
      </w:r>
    </w:p>
    <w:p>
      <w:pPr>
        <w:spacing w:after="0" w:line="192" w:lineRule="exact"/>
        <w:rPr>
          <w:sz w:val="20"/>
          <w:szCs w:val="20"/>
          <w:color w:val="auto"/>
        </w:rPr>
      </w:pPr>
    </w:p>
    <w:p>
      <w:pPr>
        <w:jc w:val="both"/>
        <w:ind w:left="840"/>
        <w:spacing w:after="0" w:line="266" w:lineRule="auto"/>
        <w:rPr>
          <w:sz w:val="20"/>
          <w:szCs w:val="20"/>
          <w:color w:val="auto"/>
        </w:rPr>
      </w:pPr>
      <w:r>
        <w:rPr>
          <w:rFonts w:ascii="Times New Roman" w:cs="Times New Roman" w:eastAsia="Times New Roman" w:hAnsi="Times New Roman"/>
          <w:sz w:val="18"/>
          <w:szCs w:val="18"/>
          <w:color w:val="auto"/>
        </w:rPr>
        <w:t>In addition to the aforementioned, if upon the Applicable Change in Control unvested RSUs are to be cancelled for no consideration, all unvested RSUs as of closing of the Applicable Change in Control shall be fully accelerated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21" w:right="999" w:bottom="1440" w:gutter="0" w:footer="0" w:header="0"/>
        </w:sectPr>
      </w:pPr>
    </w:p>
    <w:bookmarkStart w:id="86" w:name="page87"/>
    <w:bookmarkEnd w:id="86"/>
    <w:p>
      <w:pPr>
        <w:ind w:left="960"/>
        <w:spacing w:after="0"/>
        <w:rPr>
          <w:sz w:val="20"/>
          <w:szCs w:val="20"/>
          <w:color w:val="auto"/>
        </w:rPr>
      </w:pPr>
      <w:r>
        <w:rPr>
          <w:rFonts w:ascii="Times New Roman" w:cs="Times New Roman" w:eastAsia="Times New Roman" w:hAnsi="Times New Roman"/>
          <w:sz w:val="18"/>
          <w:szCs w:val="18"/>
          <w:color w:val="auto"/>
        </w:rPr>
        <w:t>prior to such closing.</w:t>
      </w:r>
    </w:p>
    <w:p>
      <w:pPr>
        <w:spacing w:after="0" w:line="221" w:lineRule="exact"/>
        <w:rPr>
          <w:sz w:val="20"/>
          <w:szCs w:val="20"/>
          <w:color w:val="auto"/>
        </w:rPr>
      </w:pPr>
    </w:p>
    <w:p>
      <w:pPr>
        <w:jc w:val="both"/>
        <w:ind w:left="9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“Release” </w:t>
      </w:r>
      <w:r>
        <w:rPr>
          <w:rFonts w:ascii="Times New Roman" w:cs="Times New Roman" w:eastAsia="Times New Roman" w:hAnsi="Times New Roman"/>
          <w:sz w:val="18"/>
          <w:szCs w:val="18"/>
          <w:color w:val="auto"/>
        </w:rPr>
        <w:t>means a release of claims document in a form satisfactory to the Corporation and the applicable employing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Subsidiary, such release shall include, among other things: (a) a general waiver and release of claims against the Corporation, its Subsidiaries and their respective officers, directors and employees, (b) a confirmation that you have not breached, and an undertaking not to breach, any intellectual property obligations owed to the Corporation or any Subsidiary, (c) a confirmation that you have not breached, and an undertaking not to breach, any confidentiality obligations owed to the Corporation or any Subsidiary, (d) non-competition and non-solicitation undertakings of at least 12 months following end of employment, and (e) an acknowledgment that the acceleration of the RSUs constitutes additional consideration for the undertakings set forth in clauses (b) through (d) above, and that upon any material breach of such undertakings, the Corporation shall be entitled, without limiting any other remedy, to recover from you any shares issued upon settlement of the accelerated RSUs (or the net proceeds thereof, if sold or transferred) and to cancel any accelerated RSUs not yet settled.</w:t>
      </w:r>
    </w:p>
    <w:p>
      <w:pPr>
        <w:spacing w:after="0" w:line="186" w:lineRule="exact"/>
        <w:rPr>
          <w:sz w:val="20"/>
          <w:szCs w:val="20"/>
          <w:color w:val="auto"/>
        </w:rPr>
      </w:pPr>
    </w:p>
    <w:p>
      <w:pPr>
        <w:jc w:val="both"/>
        <w:ind w:right="20" w:firstLine="640"/>
        <w:spacing w:after="0" w:line="266" w:lineRule="auto"/>
        <w:tabs>
          <w:tab w:leader="none" w:pos="97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Executive Transition</w:t>
      </w:r>
      <w:r>
        <w:rPr>
          <w:rFonts w:ascii="Times New Roman" w:cs="Times New Roman" w:eastAsia="Times New Roman" w:hAnsi="Times New Roman"/>
          <w:sz w:val="18"/>
          <w:szCs w:val="18"/>
          <w:color w:val="auto"/>
        </w:rPr>
        <w:t>. Section 6 of each of the RSU Agreements but NOT of the Additional Grant Agreement is hereby amended by adding the following paragraph to the end thereof (following the Change in Control paragraph added pursuant to Section 1 above) as set forth below:</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Executive Transition Double Trigger Acceleration.</w:t>
      </w:r>
    </w:p>
    <w:p>
      <w:pPr>
        <w:spacing w:after="0" w:line="229"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 terms or conditions set forth herein to the contrary, in the event that all of the following occur (i) an Executive Transition occurs, (ii) your employment is terminated by the Corporation or any Subsidiary without Cause (and without you being rehired by the Corporation or any Subsidiary as further described in this Section 6 above) within 18 months following the occurrence of the Executive Transition and (iii) you sign and do not revoke the Release and such Release becomes effective within 60 days following the date your employment terminates, then each unvested RSU as of the date of termination shall fully accelerate and become fully vested on the date of effectiveness of the Release,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60-day period spans two calendar years, such vesting shall occur on the first day of the later of such calendar years. For purposes of this Agreement, an “</w:t>
      </w:r>
      <w:r>
        <w:rPr>
          <w:rFonts w:ascii="Times New Roman" w:cs="Times New Roman" w:eastAsia="Times New Roman" w:hAnsi="Times New Roman"/>
          <w:sz w:val="18"/>
          <w:szCs w:val="18"/>
          <w:b w:val="1"/>
          <w:bCs w:val="1"/>
          <w:color w:val="auto"/>
        </w:rPr>
        <w:t>Executive Transition</w:t>
      </w:r>
      <w:r>
        <w:rPr>
          <w:rFonts w:ascii="Times New Roman" w:cs="Times New Roman" w:eastAsia="Times New Roman" w:hAnsi="Times New Roman"/>
          <w:sz w:val="18"/>
          <w:szCs w:val="18"/>
          <w:color w:val="auto"/>
        </w:rPr>
        <w:t>” means an event where the founder and Chief Executive Officer of the Corporation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as of the Effective Date ceases to be the CEO for any reason.</w:t>
      </w:r>
    </w:p>
    <w:p>
      <w:pPr>
        <w:spacing w:after="0" w:line="188" w:lineRule="exact"/>
        <w:rPr>
          <w:sz w:val="20"/>
          <w:szCs w:val="20"/>
          <w:color w:val="auto"/>
        </w:rPr>
      </w:pPr>
    </w:p>
    <w:p>
      <w:pPr>
        <w:jc w:val="both"/>
        <w:ind w:firstLine="640"/>
        <w:spacing w:after="0" w:line="258" w:lineRule="auto"/>
        <w:tabs>
          <w:tab w:leader="none" w:pos="9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xml:space="preserve"> The tax consequences of the amendments described above shall be borne solely by the Employee and the Employee agrees to bear such taxes and the Corporation or any Subsidiary (as defined in the RSU Agreements) shall be entitled to withhold all applicable taxes in connection with the RSUs, including as a result of the amendment to the terms of the existing RSUs as described above. It is clarified that the acceleration may impact the beneficial tax treatment under the trustee capital gains route. The Employee confirms that they have had the opportunity to receive legal and tax advice before executing this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87" w:name="page88"/>
    <w:bookmarkEnd w:id="87"/>
    <w:p>
      <w:pPr>
        <w:ind w:left="960" w:hanging="320"/>
        <w:spacing w:after="0"/>
        <w:tabs>
          <w:tab w:leader="none" w:pos="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paragraphs are inserted for convenience and shall not affect any interpretation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w:t>
      </w:r>
    </w:p>
    <w:p>
      <w:pPr>
        <w:spacing w:after="0" w:line="206" w:lineRule="exact"/>
        <w:rPr>
          <w:rFonts w:ascii="Times New Roman" w:cs="Times New Roman" w:eastAsia="Times New Roman" w:hAnsi="Times New Roman"/>
          <w:sz w:val="18"/>
          <w:szCs w:val="18"/>
          <w:color w:val="auto"/>
        </w:rPr>
      </w:pPr>
    </w:p>
    <w:p>
      <w:pPr>
        <w:ind w:firstLine="640"/>
        <w:spacing w:after="0" w:line="282" w:lineRule="auto"/>
        <w:tabs>
          <w:tab w:leader="none" w:pos="9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Amendment shall be deemed severable and the invalidity or unenforceability of any provision shall not affect the validity or enforceability of the other provisions hereof.</w:t>
      </w:r>
    </w:p>
    <w:p>
      <w:pPr>
        <w:spacing w:after="0" w:line="161" w:lineRule="exact"/>
        <w:rPr>
          <w:rFonts w:ascii="Times New Roman" w:cs="Times New Roman" w:eastAsia="Times New Roman" w:hAnsi="Times New Roman"/>
          <w:sz w:val="18"/>
          <w:szCs w:val="18"/>
          <w:color w:val="auto"/>
        </w:rPr>
      </w:pPr>
    </w:p>
    <w:p>
      <w:pPr>
        <w:jc w:val="both"/>
        <w:ind w:firstLine="640"/>
        <w:spacing w:after="0" w:line="254" w:lineRule="auto"/>
        <w:tabs>
          <w:tab w:leader="none" w:pos="9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Amendment shall be binding upon and shall inure to the benefit of the Corporation, its successors and assigns, and the Corporation shall require such successor or assign to expressly assume and agree to perform this Amendment in the same manner and to the same extent that the Corporation would be required to perform it if no such succession or assignment had taken place. The term “successors and assigns” as used herein shall mean a corporation or other entity acquiring all or substantially all the assets and business of the Corporation (including this Amendment) whether by operation of law or otherwise. Neither this Amendment nor any right or interest hereunder shall be assignable or transferable by the Employee, his beneficiaries or legal representatives, except by will or by the laws of descent and distribution. This Amendment shall inure to the benefit of and be enforceable by the Employee’s legal personal representative.</w:t>
      </w:r>
    </w:p>
    <w:p>
      <w:pPr>
        <w:spacing w:after="0" w:line="191" w:lineRule="exact"/>
        <w:rPr>
          <w:rFonts w:ascii="Times New Roman" w:cs="Times New Roman" w:eastAsia="Times New Roman" w:hAnsi="Times New Roman"/>
          <w:sz w:val="18"/>
          <w:szCs w:val="18"/>
          <w:color w:val="auto"/>
        </w:rPr>
      </w:pPr>
    </w:p>
    <w:p>
      <w:pPr>
        <w:ind w:right="20" w:firstLine="640"/>
        <w:spacing w:after="0" w:line="282" w:lineRule="auto"/>
        <w:tabs>
          <w:tab w:leader="none" w:pos="9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one or more counterparts, each of which shall be deemed an original copy and all of which together shall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80"/>
          </w:cols>
          <w:pgMar w:left="1320" w:top="121" w:right="999" w:bottom="1440" w:gutter="0" w:footer="0" w:header="0"/>
        </w:sectPr>
      </w:pPr>
    </w:p>
    <w:bookmarkStart w:id="88" w:name="page89"/>
    <w:bookmarkEnd w:id="88"/>
    <w:p>
      <w:pPr>
        <w:ind w:left="200"/>
        <w:spacing w:after="0"/>
        <w:rPr>
          <w:sz w:val="20"/>
          <w:szCs w:val="20"/>
          <w:color w:val="auto"/>
        </w:rPr>
      </w:pPr>
      <w:r>
        <w:rPr>
          <w:rFonts w:ascii="Times New Roman" w:cs="Times New Roman" w:eastAsia="Times New Roman" w:hAnsi="Times New Roman"/>
          <w:sz w:val="17"/>
          <w:szCs w:val="17"/>
          <w:color w:val="auto"/>
        </w:rPr>
        <w:t>IN WITNESS WHEREOF, the parties have executed this Amendment as of the date first above written.</w:t>
      </w:r>
    </w:p>
    <w:p>
      <w:pPr>
        <w:spacing w:after="0" w:line="23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CORPORATION</w:t>
      </w:r>
    </w:p>
    <w:p>
      <w:pPr>
        <w:spacing w:after="0" w:line="22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MOBILEYE GLOBAL INC.</w:t>
      </w:r>
    </w:p>
    <w:p>
      <w:pPr>
        <w:spacing w:after="0" w:line="200" w:lineRule="exact"/>
        <w:rPr>
          <w:sz w:val="20"/>
          <w:szCs w:val="20"/>
          <w:color w:val="auto"/>
        </w:rPr>
      </w:pPr>
    </w:p>
    <w:p>
      <w:pPr>
        <w:spacing w:after="0" w:line="241" w:lineRule="exact"/>
        <w:rPr>
          <w:sz w:val="20"/>
          <w:szCs w:val="20"/>
          <w:color w:val="auto"/>
        </w:rPr>
      </w:pPr>
    </w:p>
    <w:p>
      <w:pPr>
        <w:ind w:left="4260"/>
        <w:spacing w:after="0"/>
        <w:tabs>
          <w:tab w:leader="none" w:pos="4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9400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Name: Amnon Shashua</w:t>
      </w:r>
    </w:p>
    <w:p>
      <w:pPr>
        <w:spacing w:after="0" w:line="23" w:lineRule="exact"/>
        <w:rPr>
          <w:sz w:val="20"/>
          <w:szCs w:val="20"/>
          <w:color w:val="auto"/>
        </w:rPr>
      </w:pPr>
    </w:p>
    <w:p>
      <w:pPr>
        <w:ind w:left="4260"/>
        <w:spacing w:after="0"/>
        <w:tabs>
          <w:tab w:leader="none" w:pos="48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9" w:lineRule="exact"/>
        <w:rPr>
          <w:sz w:val="20"/>
          <w:szCs w:val="20"/>
          <w:color w:val="auto"/>
        </w:rPr>
      </w:pPr>
    </w:p>
    <w:p>
      <w:pPr>
        <w:ind w:left="4260"/>
        <w:spacing w:after="0"/>
        <w:tabs>
          <w:tab w:leader="none" w:pos="4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Yaacov Ohayon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3065780</wp:posOffset>
            </wp:positionH>
            <wp:positionV relativeFrom="paragraph">
              <wp:posOffset>17145</wp:posOffset>
            </wp:positionV>
            <wp:extent cx="29400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Name: Yaacov Ohayon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Professor </w:t>
      </w:r>
      <w:r>
        <w:rPr>
          <w:rFonts w:ascii="Times New Roman" w:cs="Times New Roman" w:eastAsia="Times New Roman" w:hAnsi="Times New Roman"/>
          <w:sz w:val="18"/>
          <w:szCs w:val="18"/>
          <w:color w:val="231F20"/>
        </w:rPr>
        <w:t>Amnon Shashua</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Professor Amnon Shashua</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that:</w:t>
      </w:r>
    </w:p>
    <w:p>
      <w:pPr>
        <w:spacing w:after="0" w:line="225"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Mobileye Global Inc.;</w:t>
      </w:r>
    </w:p>
    <w:p>
      <w:pPr>
        <w:spacing w:after="0" w:line="225"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80" w:hanging="320"/>
        <w:spacing w:after="0" w:line="261"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18"/>
          <w:szCs w:val="18"/>
          <w:color w:val="auto"/>
        </w:rPr>
      </w:pPr>
    </w:p>
    <w:p>
      <w:pPr>
        <w:ind w:left="1300" w:right="100" w:hanging="320"/>
        <w:spacing w:after="0" w:line="289" w:lineRule="auto"/>
        <w:tabs>
          <w:tab w:leader="none" w:pos="130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Times New Roman" w:cs="Times New Roman" w:eastAsia="Times New Roman" w:hAnsi="Times New Roman"/>
          <w:sz w:val="17"/>
          <w:szCs w:val="17"/>
          <w:color w:val="auto"/>
        </w:rPr>
      </w:pPr>
    </w:p>
    <w:p>
      <w:pPr>
        <w:ind w:left="1300" w:right="26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300" w:right="100" w:hanging="320"/>
        <w:spacing w:after="0" w:line="261"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9"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300" w:right="460" w:hanging="320"/>
        <w:spacing w:after="0" w:line="266"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right="260" w:hanging="320"/>
        <w:spacing w:after="0" w:line="282" w:lineRule="auto"/>
        <w:tabs>
          <w:tab w:leader="none" w:pos="130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Moran Shemesh Rojansky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1" w:name="page92"/>
    <w:bookmarkEnd w:id="91"/>
    <w:p>
      <w:pPr>
        <w:ind w:left="900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ind w:left="1000" w:right="120"/>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Executive Officer of Mobileye Global Inc. pursuant to 18 U.S.C. § 1350 as adopted pursuant to Section 906 of the Sarbanes-Oxley Act of 2002.</w:t>
      </w:r>
    </w:p>
    <w:p>
      <w:pPr>
        <w:spacing w:after="0" w:line="15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September 26, 2026 as filed with the Securities and Exchange Commission on the date hereof (the “Report”), I, </w:t>
      </w:r>
      <w:r>
        <w:rPr>
          <w:rFonts w:ascii="Times New Roman" w:cs="Times New Roman" w:eastAsia="Times New Roman" w:hAnsi="Times New Roman"/>
          <w:sz w:val="18"/>
          <w:szCs w:val="18"/>
          <w:color w:val="231F20"/>
        </w:rPr>
        <w:t>Professor Amnon Shashua</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Professor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Professor Amnon Shashua</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92" w:name="page93"/>
    <w:bookmarkEnd w:id="92"/>
    <w:p>
      <w:pPr>
        <w:ind w:left="900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of the Chief Financial Officer of Mobileye Global Inc. pursuant to 18 U.S.C. § 1350 as adopted pursuant to Section 906 of the Sarbanes-Oxley Act of 2002.</w:t>
      </w:r>
    </w:p>
    <w:p>
      <w:pPr>
        <w:spacing w:after="0" w:line="15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the Quarterly Report on Form 10-Q of Mobileye Global Inc. for the period ending September 26, 2026 as filed with the Securities and Exchange Commission on the date hereof (the “Report”), I, </w:t>
      </w:r>
      <w:r>
        <w:rPr>
          <w:rFonts w:ascii="Times New Roman" w:cs="Times New Roman" w:eastAsia="Times New Roman" w:hAnsi="Times New Roman"/>
          <w:sz w:val="18"/>
          <w:szCs w:val="18"/>
          <w:color w:val="231F20"/>
        </w:rPr>
        <w:t>Moran Shemesh Rojansky</w:t>
      </w:r>
      <w:r>
        <w:rPr>
          <w:rFonts w:ascii="Times New Roman" w:cs="Times New Roman" w:eastAsia="Times New Roman" w:hAnsi="Times New Roman"/>
          <w:sz w:val="18"/>
          <w:szCs w:val="18"/>
          <w:color w:val="auto"/>
        </w:rPr>
        <w:t>, certify, pursuant to 18 U.S.C. § 1350, as adopted pursuant to §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Mobileye Global Inc.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​​​By: /s/ Moran Shemesh Rojansky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17145</wp:posOffset>
            </wp:positionV>
            <wp:extent cx="294894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Moran Shemesh Rojansky</w:t>
      </w:r>
    </w:p>
    <w:p>
      <w:pPr>
        <w:spacing w:after="0" w:line="2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231F20"/>
        </w:rPr>
        <w:t>Chief Financial Officer</w:t>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30"/>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3"/>
    </w:lvl>
  </w:abstractNum>
  <w:abstractNum w:abstractNumId="13">
    <w:nsid w:val="77465F01"/>
    <w:multiLevelType w:val="hybridMultilevel"/>
    <w:lvl w:ilvl="0">
      <w:lvlJc w:val="left"/>
      <w:lvlText w:val="●"/>
      <w:numFmt w:val="bullet"/>
      <w:start w:val="1"/>
    </w:lvl>
    <w:lvl w:ilvl="1">
      <w:lvlJc w:val="left"/>
      <w:lvlText w:val="●"/>
      <w:numFmt w:val="bullet"/>
      <w:start w:val="1"/>
    </w:lvl>
  </w:abstractNum>
  <w:abstractNum w:abstractNumId="14">
    <w:nsid w:val="7724C67E"/>
    <w:multiLevelType w:val="hybridMultilevel"/>
    <w:lvl w:ilvl="0">
      <w:lvlJc w:val="left"/>
      <w:lvlText w:val="●"/>
      <w:numFmt w:val="bullet"/>
      <w:start w:val="1"/>
    </w:lvl>
    <w:lvl w:ilvl="1">
      <w:lvlJc w:val="left"/>
      <w:lvlText w:val="●"/>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lowerRoman"/>
      <w:start w:val="2"/>
    </w:lvl>
  </w:abstractNum>
  <w:abstractNum w:abstractNumId="21">
    <w:nsid w:val="153EA438"/>
    <w:multiLevelType w:val="hybridMultilevel"/>
    <w:lvl w:ilvl="0">
      <w:lvlJc w:val="left"/>
      <w:lvlText w:val="(%1)"/>
      <w:numFmt w:val="lowerRoman"/>
      <w:start w:val="1"/>
    </w:lvl>
  </w:abstractNum>
  <w:abstractNum w:abstractNumId="22">
    <w:nsid w:val="3855585C"/>
    <w:multiLevelType w:val="hybridMultilevel"/>
    <w:lvl w:ilvl="0">
      <w:lvlJc w:val="left"/>
      <w:lvlText w:val="(%1)"/>
      <w:numFmt w:val="lowerRoman"/>
      <w:start w:val="4"/>
    </w:lvl>
  </w:abstractNum>
  <w:abstractNum w:abstractNumId="23">
    <w:nsid w:val="70A64E2A"/>
    <w:multiLevelType w:val="hybridMultilevel"/>
    <w:lvl w:ilvl="0">
      <w:lvlJc w:val="left"/>
      <w:lvlText w:val="%1"/>
      <w:numFmt w:val="decimal"/>
      <w:start w:val="1"/>
    </w:lvl>
    <w:lvl w:ilvl="1">
      <w:lvlJc w:val="left"/>
      <w:lvlText w:val="(%2)"/>
      <w:numFmt w:val="lowerLetter"/>
      <w:start w:val="2"/>
    </w:lvl>
  </w:abstractNum>
  <w:abstractNum w:abstractNumId="24">
    <w:nsid w:val="6A2342EC"/>
    <w:multiLevelType w:val="hybridMultilevel"/>
    <w:lvl w:ilvl="0">
      <w:lvlJc w:val="left"/>
      <w:lvlText w:val="%1."/>
      <w:numFmt w:val="decimal"/>
      <w:start w:val="2"/>
    </w:lvl>
    <w:lvl w:ilvl="1">
      <w:lvlJc w:val="left"/>
      <w:lvlText w:val="%2"/>
      <w:numFmt w:val="lowerLetter"/>
      <w:start w:val="1"/>
    </w:lvl>
  </w:abstractNum>
  <w:abstractNum w:abstractNumId="25">
    <w:nsid w:val="2A487CB0"/>
    <w:multiLevelType w:val="hybridMultilevel"/>
    <w:lvl w:ilvl="0">
      <w:lvlJc w:val="left"/>
      <w:lvlText w:val="%1."/>
      <w:numFmt w:val="decimal"/>
      <w:start w:val="3"/>
    </w:lvl>
  </w:abstractNum>
  <w:abstractNum w:abstractNumId="26">
    <w:nsid w:val="1D4ED43B"/>
    <w:multiLevelType w:val="hybridMultilevel"/>
    <w:lvl w:ilvl="0">
      <w:lvlJc w:val="left"/>
      <w:lvlText w:val="%1."/>
      <w:numFmt w:val="decimal"/>
      <w:start w:val="6"/>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lowerRoman"/>
      <w:start w:val="1"/>
    </w:lvl>
  </w:abstractNum>
  <w:abstractNum w:abstractNumId="29">
    <w:nsid w:val="57E4CCAF"/>
    <w:multiLevelType w:val="hybridMultilevel"/>
    <w:lvl w:ilvl="0">
      <w:lvlJc w:val="left"/>
      <w:lvlText w:val="(%1)"/>
      <w:numFmt w:val="lowerRoman"/>
      <w:start w:val="4"/>
    </w:lvl>
  </w:abstractNum>
  <w:abstractNum w:abstractNumId="30">
    <w:nsid w:val="7A6D8D3C"/>
    <w:multiLevelType w:val="hybridMultilevel"/>
    <w:lvl w:ilvl="0">
      <w:lvlJc w:val="left"/>
      <w:lvlText w:val="(%1)"/>
      <w:numFmt w:val="lowerRoman"/>
      <w:start w:val="3"/>
    </w:lvl>
  </w:abstractNum>
  <w:abstractNum w:abstractNumId="31">
    <w:nsid w:val="4B588F54"/>
    <w:multiLevelType w:val="hybridMultilevel"/>
    <w:lvl w:ilvl="0">
      <w:lvlJc w:val="left"/>
      <w:lvlText w:val="%1."/>
      <w:numFmt w:val="decimal"/>
      <w:start w:val="2"/>
    </w:lvl>
  </w:abstractNum>
  <w:abstractNum w:abstractNumId="32">
    <w:nsid w:val="542289EC"/>
    <w:multiLevelType w:val="hybridMultilevel"/>
    <w:lvl w:ilvl="0">
      <w:lvlJc w:val="left"/>
      <w:lvlText w:val="%1."/>
      <w:numFmt w:val="decimal"/>
      <w:start w:val="3"/>
    </w:lvl>
  </w:abstractNum>
  <w:abstractNum w:abstractNumId="33">
    <w:nsid w:val="6DE91B18"/>
    <w:multiLevelType w:val="hybridMultilevel"/>
    <w:lvl w:ilvl="0">
      <w:lvlJc w:val="left"/>
      <w:lvlText w:val="%1."/>
      <w:numFmt w:val="decimal"/>
      <w:start w:val="7"/>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lowerRoman"/>
      <w:start w:val="1"/>
    </w:lvl>
  </w:abstractNum>
  <w:abstractNum w:abstractNumId="36">
    <w:nsid w:val="32FFF902"/>
    <w:multiLevelType w:val="hybridMultilevel"/>
    <w:lvl w:ilvl="0">
      <w:lvlJc w:val="left"/>
      <w:lvlText w:val="(%1)"/>
      <w:numFmt w:val="lowerRoman"/>
      <w:start w:val="4"/>
    </w:lvl>
  </w:abstractNum>
  <w:abstractNum w:abstractNumId="37">
    <w:nsid w:val="684A481A"/>
    <w:multiLevelType w:val="hybridMultilevel"/>
    <w:lvl w:ilvl="0">
      <w:lvlJc w:val="left"/>
      <w:lvlText w:val="(%1)"/>
      <w:numFmt w:val="lowerRoman"/>
      <w:start w:val="3"/>
    </w:lvl>
  </w:abstractNum>
  <w:abstractNum w:abstractNumId="38">
    <w:nsid w:val="579478FE"/>
    <w:multiLevelType w:val="hybridMultilevel"/>
    <w:lvl w:ilvl="0">
      <w:lvlJc w:val="left"/>
      <w:lvlText w:val="%1."/>
      <w:numFmt w:val="decimal"/>
      <w:start w:val="2"/>
    </w:lvl>
  </w:abstractNum>
  <w:abstractNum w:abstractNumId="39">
    <w:nsid w:val="749ABB43"/>
    <w:multiLevelType w:val="hybridMultilevel"/>
    <w:lvl w:ilvl="0">
      <w:lvlJc w:val="left"/>
      <w:lvlText w:val="%1."/>
      <w:numFmt w:val="decimal"/>
      <w:start w:val="3"/>
    </w:lvl>
  </w:abstractNum>
  <w:abstractNum w:abstractNumId="40">
    <w:nsid w:val="3DC240FB"/>
    <w:multiLevelType w:val="hybridMultilevel"/>
    <w:lvl w:ilvl="0">
      <w:lvlJc w:val="left"/>
      <w:lvlText w:val="%1."/>
      <w:numFmt w:val="decimal"/>
      <w:start w:val="7"/>
    </w:lvl>
  </w:abstractNum>
  <w:abstractNum w:abstractNumId="41">
    <w:nsid w:val="1BA026FA"/>
    <w:multiLevelType w:val="hybridMultilevel"/>
    <w:lvl w:ilvl="0">
      <w:lvlJc w:val="left"/>
      <w:lvlText w:val="%1."/>
      <w:numFmt w:val="lowerLetter"/>
      <w:start w:val="12"/>
    </w:lvl>
  </w:abstractNum>
  <w:abstractNum w:abstractNumId="42">
    <w:nsid w:val="79A1DEAA"/>
    <w:multiLevelType w:val="hybridMultilevel"/>
    <w:lvl w:ilvl="0">
      <w:lvlJc w:val="left"/>
      <w:lvlText w:val="%1."/>
      <w:numFmt w:val="decimal"/>
      <w:start w:val="2"/>
    </w:lvl>
  </w:abstractNum>
  <w:abstractNum w:abstractNumId="43">
    <w:nsid w:val="75C6C33A"/>
    <w:multiLevelType w:val="hybridMultilevel"/>
    <w:lvl w:ilvl="0">
      <w:lvlJc w:val="left"/>
      <w:lvlText w:val="%1."/>
      <w:numFmt w:val="decimal"/>
      <w:start w:val="4"/>
    </w:lvl>
  </w:abstractNum>
  <w:abstractNum w:abstractNumId="44">
    <w:nsid w:val="12E685FB"/>
    <w:multiLevelType w:val="hybridMultilevel"/>
    <w:lvl w:ilvl="0">
      <w:lvlJc w:val="left"/>
      <w:lvlText w:val="%1."/>
      <w:numFmt w:val="decimal"/>
      <w:start w:val="5"/>
    </w:lvl>
  </w:abstractNum>
  <w:abstractNum w:abstractNumId="45">
    <w:nsid w:val="70C6A529"/>
    <w:multiLevelType w:val="hybridMultilevel"/>
    <w:lvl w:ilvl="0">
      <w:lvlJc w:val="left"/>
      <w:lvlText w:val="%1."/>
      <w:numFmt w:val="decimal"/>
      <w:start w:val="6"/>
    </w:lvl>
  </w:abstractNum>
  <w:abstractNum w:abstractNumId="46">
    <w:nsid w:val="520EEDD1"/>
    <w:multiLevelType w:val="hybridMultilevel"/>
    <w:lvl w:ilvl="0">
      <w:lvlJc w:val="left"/>
      <w:lvlText w:val="%1."/>
      <w:numFmt w:val="decimal"/>
      <w:start w:val="7"/>
    </w:lvl>
  </w:abstractNum>
  <w:abstractNum w:abstractNumId="47">
    <w:nsid w:val="374A3FE6"/>
    <w:multiLevelType w:val="hybridMultilevel"/>
    <w:lvl w:ilvl="0">
      <w:lvlJc w:val="left"/>
      <w:lvlText w:val="%1."/>
      <w:numFmt w:val="decimal"/>
      <w:start w:val="8"/>
    </w:lvl>
    <w:lvl w:ilvl="1">
      <w:lvlJc w:val="left"/>
      <w:lvlText w:val="(%2)"/>
      <w:numFmt w:val="lowerRoman"/>
      <w:start w:val="1"/>
    </w:lvl>
  </w:abstractNum>
  <w:abstractNum w:abstractNumId="48">
    <w:nsid w:val="4F4EF005"/>
    <w:multiLevelType w:val="hybridMultilevel"/>
    <w:lvl w:ilvl="0">
      <w:lvlJc w:val="left"/>
      <w:lvlText w:val="%1."/>
      <w:numFmt w:val="decimal"/>
      <w:start w:val="9"/>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1)"/>
      <w:numFmt w:val="lowerRoman"/>
      <w:start w:val="2"/>
    </w:lvl>
  </w:abstractNum>
  <w:abstractNum w:abstractNumId="51">
    <w:nsid w:val="275AC794"/>
    <w:multiLevelType w:val="hybridMultilevel"/>
    <w:lvl w:ilvl="0">
      <w:lvlJc w:val="left"/>
      <w:lvlText w:val="(%1)"/>
      <w:numFmt w:val="lowerRoman"/>
      <w:start w:val="1"/>
    </w:lvl>
  </w:abstractNum>
  <w:abstractNum w:abstractNumId="52">
    <w:nsid w:val="39386575"/>
    <w:multiLevelType w:val="hybridMultilevel"/>
    <w:lvl w:ilvl="0">
      <w:lvlJc w:val="left"/>
      <w:lvlText w:val="(%1)"/>
      <w:numFmt w:val="lowerRoman"/>
      <w:start w:val="3"/>
    </w:lvl>
  </w:abstractNum>
  <w:abstractNum w:abstractNumId="53">
    <w:nsid w:val="1CF10FD8"/>
    <w:multiLevelType w:val="hybridMultilevel"/>
    <w:lvl w:ilvl="0">
      <w:lvlJc w:val="left"/>
      <w:lvlText w:val="%1."/>
      <w:numFmt w:val="decimal"/>
      <w:start w:val="2"/>
    </w:lvl>
  </w:abstractNum>
  <w:abstractNum w:abstractNumId="54">
    <w:nsid w:val="180115BE"/>
    <w:multiLevelType w:val="hybridMultilevel"/>
    <w:lvl w:ilvl="0">
      <w:lvlJc w:val="left"/>
      <w:lvlText w:val="%1."/>
      <w:numFmt w:val="decimal"/>
      <w:start w:val="3"/>
    </w:lvl>
  </w:abstractNum>
  <w:abstractNum w:abstractNumId="55">
    <w:nsid w:val="235BA861"/>
    <w:multiLevelType w:val="hybridMultilevel"/>
    <w:lvl w:ilvl="0">
      <w:lvlJc w:val="left"/>
      <w:lvlText w:val="%1."/>
      <w:numFmt w:val="decimal"/>
      <w:start w:val="4"/>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2026-10-29T16:19:40Z</dcterms:created>
  <dcterms:modified xsi:type="dcterms:W3CDTF">2026-10-29T16:19:40Z</dcterms:modified>
</cp:coreProperties>
</file>